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6BBC" w14:textId="77777777" w:rsidR="00040C3A" w:rsidRPr="0090270B" w:rsidRDefault="00D306D1" w:rsidP="00627C9F">
      <w:pPr>
        <w:jc w:val="both"/>
        <w:rPr>
          <w:rFonts w:cs="Univers"/>
          <w:b/>
          <w:bCs/>
          <w:sz w:val="22"/>
          <w:szCs w:val="22"/>
          <w:lang w:val="es-ES_tradnl"/>
        </w:rPr>
      </w:pPr>
      <w:r w:rsidRPr="0090270B">
        <w:rPr>
          <w:noProof/>
          <w:sz w:val="22"/>
          <w:szCs w:val="22"/>
          <w:lang w:val="en-US" w:eastAsia="en-US"/>
        </w:rPr>
        <mc:AlternateContent>
          <mc:Choice Requires="wps">
            <w:drawing>
              <wp:anchor distT="0" distB="0" distL="114300" distR="114300" simplePos="0" relativeHeight="251661311" behindDoc="0" locked="0" layoutInCell="1" allowOverlap="1" wp14:anchorId="745481F6" wp14:editId="690A9D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8F29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noProof/>
          <w:sz w:val="22"/>
          <w:szCs w:val="22"/>
          <w:lang w:val="en-US" w:eastAsia="en-US"/>
        </w:rPr>
        <mc:AlternateContent>
          <mc:Choice Requires="wps">
            <w:drawing>
              <wp:anchor distT="0" distB="0" distL="114300" distR="114300" simplePos="0" relativeHeight="251673600" behindDoc="0" locked="0" layoutInCell="1" allowOverlap="1" wp14:anchorId="573D777B" wp14:editId="6C1D8E3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C7647" w14:textId="77777777" w:rsidR="00F5327F" w:rsidRDefault="00F5327F" w:rsidP="00AE5488">
                            <w:r>
                              <w:rPr>
                                <w:noProof/>
                                <w:lang w:val="en-US" w:eastAsia="en-US"/>
                              </w:rPr>
                              <w:drawing>
                                <wp:inline distT="0" distB="0" distL="0" distR="0" wp14:anchorId="3722E722" wp14:editId="5109C70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BF09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5327F" w:rsidRDefault="00F5327F" w:rsidP="00AE5488">
                      <w:r>
                        <w:rPr>
                          <w:noProof/>
                          <w:lang w:val="en-US" w:eastAsia="en-US"/>
                        </w:rPr>
                        <w:drawing>
                          <wp:inline distT="0" distB="0" distL="0" distR="0" wp14:anchorId="37D4E1AE" wp14:editId="7CE2983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E60123F" w14:textId="77777777" w:rsidR="00040C3A" w:rsidRPr="0090270B" w:rsidRDefault="00040C3A" w:rsidP="00040C3A">
      <w:pPr>
        <w:tabs>
          <w:tab w:val="center" w:pos="5400"/>
        </w:tabs>
        <w:suppressAutoHyphens/>
        <w:jc w:val="both"/>
        <w:rPr>
          <w:sz w:val="22"/>
          <w:szCs w:val="22"/>
        </w:rPr>
      </w:pPr>
    </w:p>
    <w:p w14:paraId="66A8B39B" w14:textId="77777777" w:rsidR="00040C3A" w:rsidRPr="0090270B" w:rsidRDefault="00040C3A" w:rsidP="00040C3A">
      <w:pPr>
        <w:tabs>
          <w:tab w:val="center" w:pos="5400"/>
        </w:tabs>
        <w:suppressAutoHyphens/>
        <w:jc w:val="both"/>
        <w:rPr>
          <w:sz w:val="22"/>
          <w:szCs w:val="22"/>
        </w:rPr>
      </w:pPr>
    </w:p>
    <w:p w14:paraId="70FF2E67" w14:textId="77777777" w:rsidR="005128E4" w:rsidRPr="0090270B" w:rsidRDefault="005128E4" w:rsidP="00040C3A">
      <w:pPr>
        <w:tabs>
          <w:tab w:val="center" w:pos="5400"/>
        </w:tabs>
        <w:suppressAutoHyphens/>
        <w:rPr>
          <w:sz w:val="22"/>
          <w:szCs w:val="22"/>
          <w:lang w:val="es-ES_tradnl"/>
        </w:rPr>
      </w:pPr>
    </w:p>
    <w:p w14:paraId="08A4113E" w14:textId="77777777" w:rsidR="005128E4" w:rsidRPr="0090270B" w:rsidRDefault="005128E4" w:rsidP="00040C3A">
      <w:pPr>
        <w:tabs>
          <w:tab w:val="center" w:pos="5400"/>
        </w:tabs>
        <w:suppressAutoHyphens/>
        <w:rPr>
          <w:sz w:val="22"/>
          <w:szCs w:val="22"/>
          <w:lang w:val="es-ES_tradnl"/>
        </w:rPr>
      </w:pPr>
    </w:p>
    <w:p w14:paraId="193639B0" w14:textId="77777777" w:rsidR="005128E4" w:rsidRPr="0090270B" w:rsidRDefault="005128E4" w:rsidP="00040C3A">
      <w:pPr>
        <w:tabs>
          <w:tab w:val="center" w:pos="5400"/>
        </w:tabs>
        <w:suppressAutoHyphens/>
        <w:rPr>
          <w:sz w:val="22"/>
          <w:szCs w:val="22"/>
          <w:lang w:val="es-ES_tradnl"/>
        </w:rPr>
      </w:pPr>
    </w:p>
    <w:p w14:paraId="504FD753" w14:textId="77777777" w:rsidR="00040C3A" w:rsidRPr="0090270B" w:rsidRDefault="00040C3A" w:rsidP="005128E4">
      <w:pPr>
        <w:tabs>
          <w:tab w:val="center" w:pos="5400"/>
        </w:tabs>
        <w:suppressAutoHyphens/>
        <w:jc w:val="center"/>
        <w:rPr>
          <w:sz w:val="22"/>
          <w:szCs w:val="22"/>
          <w:lang w:val="es-ES_tradnl"/>
        </w:rPr>
      </w:pPr>
    </w:p>
    <w:p w14:paraId="22046272" w14:textId="77777777" w:rsidR="00040C3A" w:rsidRPr="0090270B" w:rsidRDefault="00040C3A" w:rsidP="005128E4">
      <w:pPr>
        <w:tabs>
          <w:tab w:val="center" w:pos="5400"/>
        </w:tabs>
        <w:suppressAutoHyphens/>
        <w:jc w:val="center"/>
        <w:rPr>
          <w:sz w:val="22"/>
          <w:szCs w:val="22"/>
          <w:lang w:val="es-ES_tradnl"/>
        </w:rPr>
      </w:pPr>
    </w:p>
    <w:p w14:paraId="1D417A58" w14:textId="77777777" w:rsidR="005B52B0" w:rsidRPr="0090270B" w:rsidRDefault="005B52B0" w:rsidP="005128E4">
      <w:pPr>
        <w:tabs>
          <w:tab w:val="center" w:pos="5400"/>
        </w:tabs>
        <w:suppressAutoHyphens/>
        <w:jc w:val="center"/>
        <w:rPr>
          <w:sz w:val="22"/>
          <w:szCs w:val="22"/>
          <w:lang w:val="es-ES_tradnl"/>
        </w:rPr>
      </w:pPr>
    </w:p>
    <w:p w14:paraId="73FF4E05" w14:textId="77777777" w:rsidR="005B52B0" w:rsidRPr="0090270B" w:rsidRDefault="005B52B0" w:rsidP="005128E4">
      <w:pPr>
        <w:tabs>
          <w:tab w:val="center" w:pos="5400"/>
        </w:tabs>
        <w:suppressAutoHyphens/>
        <w:jc w:val="center"/>
        <w:rPr>
          <w:sz w:val="22"/>
          <w:szCs w:val="22"/>
          <w:lang w:val="es-ES_tradnl"/>
        </w:rPr>
      </w:pPr>
    </w:p>
    <w:p w14:paraId="2460FDAB" w14:textId="77777777" w:rsidR="005B52B0" w:rsidRPr="0090270B" w:rsidRDefault="005B52B0" w:rsidP="005128E4">
      <w:pPr>
        <w:tabs>
          <w:tab w:val="center" w:pos="5400"/>
        </w:tabs>
        <w:suppressAutoHyphens/>
        <w:jc w:val="center"/>
        <w:rPr>
          <w:sz w:val="22"/>
          <w:szCs w:val="22"/>
          <w:lang w:val="es-ES_tradnl"/>
        </w:rPr>
      </w:pPr>
    </w:p>
    <w:p w14:paraId="37F059AB" w14:textId="77777777" w:rsidR="00040C3A" w:rsidRPr="0090270B" w:rsidRDefault="00040C3A" w:rsidP="00040C3A">
      <w:pPr>
        <w:tabs>
          <w:tab w:val="center" w:pos="5400"/>
        </w:tabs>
        <w:suppressAutoHyphens/>
        <w:jc w:val="center"/>
        <w:rPr>
          <w:sz w:val="22"/>
          <w:szCs w:val="22"/>
          <w:lang w:val="es-ES_tradnl"/>
        </w:rPr>
      </w:pPr>
    </w:p>
    <w:p w14:paraId="1AACD914" w14:textId="77777777" w:rsidR="00040C3A" w:rsidRPr="0090270B" w:rsidRDefault="00040C3A" w:rsidP="00040C3A">
      <w:pPr>
        <w:tabs>
          <w:tab w:val="center" w:pos="5400"/>
        </w:tabs>
        <w:suppressAutoHyphens/>
        <w:jc w:val="center"/>
        <w:rPr>
          <w:sz w:val="22"/>
          <w:szCs w:val="22"/>
          <w:lang w:val="es-ES_tradnl"/>
        </w:rPr>
      </w:pPr>
    </w:p>
    <w:p w14:paraId="74109394" w14:textId="77777777" w:rsidR="00040C3A" w:rsidRPr="0090270B" w:rsidRDefault="003D3BC2" w:rsidP="00040C3A">
      <w:pPr>
        <w:tabs>
          <w:tab w:val="center" w:pos="5400"/>
        </w:tabs>
        <w:suppressAutoHyphens/>
        <w:jc w:val="center"/>
        <w:rPr>
          <w:sz w:val="22"/>
          <w:szCs w:val="22"/>
          <w:lang w:val="es-ES_tradnl"/>
        </w:rPr>
      </w:pPr>
      <w:r w:rsidRPr="0090270B">
        <w:rPr>
          <w:noProof/>
          <w:sz w:val="22"/>
          <w:szCs w:val="22"/>
          <w:lang w:val="en-US" w:eastAsia="en-US"/>
        </w:rPr>
        <mc:AlternateContent>
          <mc:Choice Requires="wps">
            <w:drawing>
              <wp:anchor distT="0" distB="0" distL="114300" distR="114300" simplePos="0" relativeHeight="251669504" behindDoc="0" locked="0" layoutInCell="1" allowOverlap="1" wp14:anchorId="44E68ADC" wp14:editId="5B69E58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7A0CD" w14:textId="77777777" w:rsidR="00F5327F" w:rsidRPr="00A03719" w:rsidRDefault="00F5327F" w:rsidP="00997BC5">
                            <w:pPr>
                              <w:spacing w:line="276" w:lineRule="auto"/>
                              <w:rPr>
                                <w:rFonts w:cs="Arial"/>
                                <w:b/>
                                <w:bCs/>
                                <w:color w:val="0D0D0D" w:themeColor="text1" w:themeTint="F2"/>
                                <w:sz w:val="36"/>
                                <w:szCs w:val="22"/>
                                <w:lang w:val="es-US"/>
                              </w:rPr>
                            </w:pPr>
                            <w:r w:rsidRPr="00A03719">
                              <w:rPr>
                                <w:rFonts w:cs="Arial"/>
                                <w:b/>
                                <w:bCs/>
                                <w:color w:val="0D0D0D" w:themeColor="text1" w:themeTint="F2"/>
                                <w:sz w:val="36"/>
                                <w:szCs w:val="22"/>
                                <w:lang w:val="es-US"/>
                              </w:rPr>
                              <w:t xml:space="preserve">INFORME </w:t>
                            </w:r>
                            <w:r w:rsidRPr="00A03719">
                              <w:rPr>
                                <w:rFonts w:cs="Arial"/>
                                <w:b/>
                                <w:bCs/>
                                <w:color w:val="0D0D0D" w:themeColor="text1" w:themeTint="F2"/>
                                <w:sz w:val="36"/>
                                <w:szCs w:val="40"/>
                                <w:lang w:val="es-US"/>
                              </w:rPr>
                              <w:t>No.</w:t>
                            </w:r>
                            <w:r w:rsidRPr="00A03719">
                              <w:rPr>
                                <w:rFonts w:cs="Arial"/>
                                <w:b/>
                                <w:bCs/>
                                <w:color w:val="0D0D0D" w:themeColor="text1" w:themeTint="F2"/>
                                <w:sz w:val="36"/>
                                <w:szCs w:val="22"/>
                                <w:lang w:val="es-US"/>
                              </w:rPr>
                              <w:t xml:space="preserve"> </w:t>
                            </w:r>
                            <w:r>
                              <w:rPr>
                                <w:rFonts w:cs="Arial"/>
                                <w:b/>
                                <w:bCs/>
                                <w:color w:val="0D0D0D" w:themeColor="text1" w:themeTint="F2"/>
                                <w:sz w:val="36"/>
                                <w:szCs w:val="22"/>
                                <w:lang w:val="es-US"/>
                              </w:rPr>
                              <w:t>12</w:t>
                            </w:r>
                            <w:r w:rsidRPr="00A03719">
                              <w:rPr>
                                <w:rFonts w:cs="Arial"/>
                                <w:b/>
                                <w:bCs/>
                                <w:color w:val="0D0D0D" w:themeColor="text1" w:themeTint="F2"/>
                                <w:sz w:val="36"/>
                                <w:szCs w:val="22"/>
                                <w:lang w:val="es-US"/>
                              </w:rPr>
                              <w:t>/1</w:t>
                            </w:r>
                            <w:r>
                              <w:rPr>
                                <w:rFonts w:cs="Arial"/>
                                <w:b/>
                                <w:bCs/>
                                <w:color w:val="0D0D0D" w:themeColor="text1" w:themeTint="F2"/>
                                <w:sz w:val="36"/>
                                <w:szCs w:val="22"/>
                                <w:lang w:val="es-US"/>
                              </w:rPr>
                              <w:t>9</w:t>
                            </w:r>
                          </w:p>
                          <w:p w14:paraId="38909B62" w14:textId="77777777" w:rsidR="00F5327F" w:rsidRPr="003F403C" w:rsidRDefault="00F5327F" w:rsidP="00997BC5">
                            <w:pPr>
                              <w:spacing w:line="276" w:lineRule="auto"/>
                              <w:rPr>
                                <w:rFonts w:cs="Arial"/>
                                <w:b/>
                                <w:color w:val="0D0D0D" w:themeColor="text1" w:themeTint="F2"/>
                                <w:sz w:val="36"/>
                                <w:szCs w:val="22"/>
                                <w:lang w:val="es-US"/>
                              </w:rPr>
                            </w:pPr>
                            <w:r w:rsidRPr="003F403C">
                              <w:rPr>
                                <w:rFonts w:cs="Arial"/>
                                <w:b/>
                                <w:color w:val="0D0D0D" w:themeColor="text1" w:themeTint="F2"/>
                                <w:sz w:val="36"/>
                                <w:szCs w:val="22"/>
                                <w:lang w:val="es-US"/>
                              </w:rPr>
                              <w:t>CASO 12.903</w:t>
                            </w:r>
                          </w:p>
                          <w:p w14:paraId="1EA5E04F" w14:textId="77777777" w:rsidR="00F5327F" w:rsidRPr="00D07F2A" w:rsidRDefault="00F5327F" w:rsidP="000158FD">
                            <w:pPr>
                              <w:spacing w:line="276" w:lineRule="auto"/>
                              <w:rPr>
                                <w:rFonts w:cs="Arial"/>
                                <w:color w:val="0D0D0D" w:themeColor="text1" w:themeTint="F2"/>
                                <w:sz w:val="24"/>
                                <w:szCs w:val="24"/>
                                <w:lang w:val="es-ES_tradnl"/>
                              </w:rPr>
                            </w:pPr>
                            <w:r w:rsidRPr="00D07F2A">
                              <w:rPr>
                                <w:rFonts w:cs="Arial"/>
                                <w:color w:val="0D0D0D" w:themeColor="text1" w:themeTint="F2"/>
                                <w:sz w:val="24"/>
                                <w:szCs w:val="24"/>
                                <w:lang w:val="es-ES_tradnl"/>
                              </w:rPr>
                              <w:t xml:space="preserve">INFORME DE FONDO </w:t>
                            </w:r>
                          </w:p>
                          <w:p w14:paraId="5C9B0B24" w14:textId="77777777" w:rsidR="00F5327F" w:rsidRPr="00D07F2A" w:rsidRDefault="00F5327F" w:rsidP="00997BC5">
                            <w:pPr>
                              <w:spacing w:line="276" w:lineRule="auto"/>
                              <w:rPr>
                                <w:rFonts w:cs="Arial"/>
                                <w:color w:val="0D0D0D" w:themeColor="text1" w:themeTint="F2"/>
                                <w:sz w:val="24"/>
                                <w:szCs w:val="24"/>
                                <w:lang w:val="es-ES_tradnl"/>
                              </w:rPr>
                            </w:pPr>
                            <w:bookmarkStart w:id="0" w:name="_ftnref1"/>
                          </w:p>
                          <w:p w14:paraId="4307591E" w14:textId="77777777" w:rsidR="00F5327F" w:rsidRPr="00D07F2A" w:rsidRDefault="00F5327F" w:rsidP="00997BC5">
                            <w:pPr>
                              <w:spacing w:line="276" w:lineRule="auto"/>
                              <w:rPr>
                                <w:rFonts w:cs="Arial"/>
                                <w:color w:val="0D0D0D" w:themeColor="text1" w:themeTint="F2"/>
                                <w:sz w:val="24"/>
                                <w:szCs w:val="24"/>
                                <w:lang w:val="es-ES_tradnl"/>
                              </w:rPr>
                            </w:pPr>
                            <w:r w:rsidRPr="00D07F2A">
                              <w:rPr>
                                <w:rFonts w:cs="Arial"/>
                                <w:color w:val="0D0D0D" w:themeColor="text1" w:themeTint="F2"/>
                                <w:sz w:val="24"/>
                                <w:szCs w:val="24"/>
                                <w:lang w:val="es-ES_tradnl"/>
                              </w:rPr>
                              <w:t>PROFESORES DE CHAÑARAL Y OTRAS MUNICIPALIDADES</w:t>
                            </w:r>
                          </w:p>
                          <w:bookmarkEnd w:id="0"/>
                          <w:p w14:paraId="0BF2A31A" w14:textId="77777777" w:rsidR="00F5327F" w:rsidRPr="00D07F2A" w:rsidRDefault="00F5327F" w:rsidP="00997BC5">
                            <w:pPr>
                              <w:spacing w:line="276" w:lineRule="auto"/>
                              <w:rPr>
                                <w:rFonts w:cs="Arial"/>
                                <w:color w:val="0D0D0D" w:themeColor="text1" w:themeTint="F2"/>
                                <w:sz w:val="24"/>
                                <w:szCs w:val="24"/>
                              </w:rPr>
                            </w:pPr>
                            <w:r w:rsidRPr="00D07F2A">
                              <w:rPr>
                                <w:rFonts w:cs="Arial"/>
                                <w:color w:val="0D0D0D" w:themeColor="text1" w:themeTint="F2"/>
                                <w:sz w:val="24"/>
                                <w:szCs w:val="24"/>
                                <w:lang w:val="es-ES_tradnl"/>
                              </w:rPr>
                              <w:t>CHILE</w:t>
                            </w:r>
                          </w:p>
                          <w:p w14:paraId="7667CFB1" w14:textId="77777777" w:rsidR="00F5327F" w:rsidRPr="00AE5488" w:rsidRDefault="00F5327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58E7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5327F" w:rsidRPr="00A03719" w:rsidRDefault="00F5327F" w:rsidP="00997BC5">
                      <w:pPr>
                        <w:spacing w:line="276" w:lineRule="auto"/>
                        <w:rPr>
                          <w:rFonts w:cs="Arial"/>
                          <w:b/>
                          <w:bCs/>
                          <w:color w:val="0D0D0D" w:themeColor="text1" w:themeTint="F2"/>
                          <w:sz w:val="36"/>
                          <w:szCs w:val="22"/>
                          <w:lang w:val="es-US"/>
                        </w:rPr>
                      </w:pPr>
                      <w:r w:rsidRPr="00A03719">
                        <w:rPr>
                          <w:rFonts w:cs="Arial"/>
                          <w:b/>
                          <w:bCs/>
                          <w:color w:val="0D0D0D" w:themeColor="text1" w:themeTint="F2"/>
                          <w:sz w:val="36"/>
                          <w:szCs w:val="22"/>
                          <w:lang w:val="es-US"/>
                        </w:rPr>
                        <w:t xml:space="preserve">INFORME </w:t>
                      </w:r>
                      <w:r w:rsidRPr="00A03719">
                        <w:rPr>
                          <w:rFonts w:cs="Arial"/>
                          <w:b/>
                          <w:bCs/>
                          <w:color w:val="0D0D0D" w:themeColor="text1" w:themeTint="F2"/>
                          <w:sz w:val="36"/>
                          <w:szCs w:val="40"/>
                          <w:lang w:val="es-US"/>
                        </w:rPr>
                        <w:t>No.</w:t>
                      </w:r>
                      <w:r w:rsidRPr="00A03719">
                        <w:rPr>
                          <w:rFonts w:cs="Arial"/>
                          <w:b/>
                          <w:bCs/>
                          <w:color w:val="0D0D0D" w:themeColor="text1" w:themeTint="F2"/>
                          <w:sz w:val="36"/>
                          <w:szCs w:val="22"/>
                          <w:lang w:val="es-US"/>
                        </w:rPr>
                        <w:t xml:space="preserve"> </w:t>
                      </w:r>
                      <w:r>
                        <w:rPr>
                          <w:rFonts w:cs="Arial"/>
                          <w:b/>
                          <w:bCs/>
                          <w:color w:val="0D0D0D" w:themeColor="text1" w:themeTint="F2"/>
                          <w:sz w:val="36"/>
                          <w:szCs w:val="22"/>
                          <w:lang w:val="es-US"/>
                        </w:rPr>
                        <w:t>12</w:t>
                      </w:r>
                      <w:r w:rsidRPr="00A03719">
                        <w:rPr>
                          <w:rFonts w:cs="Arial"/>
                          <w:b/>
                          <w:bCs/>
                          <w:color w:val="0D0D0D" w:themeColor="text1" w:themeTint="F2"/>
                          <w:sz w:val="36"/>
                          <w:szCs w:val="22"/>
                          <w:lang w:val="es-US"/>
                        </w:rPr>
                        <w:t>/1</w:t>
                      </w:r>
                      <w:r>
                        <w:rPr>
                          <w:rFonts w:cs="Arial"/>
                          <w:b/>
                          <w:bCs/>
                          <w:color w:val="0D0D0D" w:themeColor="text1" w:themeTint="F2"/>
                          <w:sz w:val="36"/>
                          <w:szCs w:val="22"/>
                          <w:lang w:val="es-US"/>
                        </w:rPr>
                        <w:t>9</w:t>
                      </w:r>
                    </w:p>
                    <w:p w:rsidR="00F5327F" w:rsidRPr="003F403C" w:rsidRDefault="00F5327F" w:rsidP="00997BC5">
                      <w:pPr>
                        <w:spacing w:line="276" w:lineRule="auto"/>
                        <w:rPr>
                          <w:rFonts w:cs="Arial"/>
                          <w:b/>
                          <w:color w:val="0D0D0D" w:themeColor="text1" w:themeTint="F2"/>
                          <w:sz w:val="36"/>
                          <w:szCs w:val="22"/>
                          <w:lang w:val="es-US"/>
                        </w:rPr>
                      </w:pPr>
                      <w:r w:rsidRPr="003F403C">
                        <w:rPr>
                          <w:rFonts w:cs="Arial"/>
                          <w:b/>
                          <w:color w:val="0D0D0D" w:themeColor="text1" w:themeTint="F2"/>
                          <w:sz w:val="36"/>
                          <w:szCs w:val="22"/>
                          <w:lang w:val="es-US"/>
                        </w:rPr>
                        <w:t>CASO 12.903</w:t>
                      </w:r>
                    </w:p>
                    <w:p w:rsidR="00F5327F" w:rsidRPr="00D07F2A" w:rsidRDefault="00F5327F" w:rsidP="000158FD">
                      <w:pPr>
                        <w:spacing w:line="276" w:lineRule="auto"/>
                        <w:rPr>
                          <w:rFonts w:cs="Arial"/>
                          <w:color w:val="0D0D0D" w:themeColor="text1" w:themeTint="F2"/>
                          <w:sz w:val="24"/>
                          <w:szCs w:val="24"/>
                          <w:lang w:val="es-ES_tradnl"/>
                        </w:rPr>
                      </w:pPr>
                      <w:r w:rsidRPr="00D07F2A">
                        <w:rPr>
                          <w:rFonts w:cs="Arial"/>
                          <w:color w:val="0D0D0D" w:themeColor="text1" w:themeTint="F2"/>
                          <w:sz w:val="24"/>
                          <w:szCs w:val="24"/>
                          <w:lang w:val="es-ES_tradnl"/>
                        </w:rPr>
                        <w:t xml:space="preserve">INFORME DE FONDO </w:t>
                      </w:r>
                    </w:p>
                    <w:p w:rsidR="00F5327F" w:rsidRPr="00D07F2A" w:rsidRDefault="00F5327F" w:rsidP="00997BC5">
                      <w:pPr>
                        <w:spacing w:line="276" w:lineRule="auto"/>
                        <w:rPr>
                          <w:rFonts w:cs="Arial"/>
                          <w:color w:val="0D0D0D" w:themeColor="text1" w:themeTint="F2"/>
                          <w:sz w:val="24"/>
                          <w:szCs w:val="24"/>
                          <w:lang w:val="es-ES_tradnl"/>
                        </w:rPr>
                      </w:pPr>
                      <w:bookmarkStart w:id="2" w:name="_ftnref1"/>
                    </w:p>
                    <w:p w:rsidR="00F5327F" w:rsidRPr="00D07F2A" w:rsidRDefault="00F5327F" w:rsidP="00997BC5">
                      <w:pPr>
                        <w:spacing w:line="276" w:lineRule="auto"/>
                        <w:rPr>
                          <w:rFonts w:cs="Arial"/>
                          <w:color w:val="0D0D0D" w:themeColor="text1" w:themeTint="F2"/>
                          <w:sz w:val="24"/>
                          <w:szCs w:val="24"/>
                          <w:lang w:val="es-ES_tradnl"/>
                        </w:rPr>
                      </w:pPr>
                      <w:r w:rsidRPr="00D07F2A">
                        <w:rPr>
                          <w:rFonts w:cs="Arial"/>
                          <w:color w:val="0D0D0D" w:themeColor="text1" w:themeTint="F2"/>
                          <w:sz w:val="24"/>
                          <w:szCs w:val="24"/>
                          <w:lang w:val="es-ES_tradnl"/>
                        </w:rPr>
                        <w:t>PROFESORES DE CHAÑARAL Y OTRAS MUNICIPALIDADES</w:t>
                      </w:r>
                    </w:p>
                    <w:bookmarkEnd w:id="2"/>
                    <w:p w:rsidR="00F5327F" w:rsidRPr="00D07F2A" w:rsidRDefault="00F5327F" w:rsidP="00997BC5">
                      <w:pPr>
                        <w:spacing w:line="276" w:lineRule="auto"/>
                        <w:rPr>
                          <w:rFonts w:cs="Arial"/>
                          <w:color w:val="0D0D0D" w:themeColor="text1" w:themeTint="F2"/>
                          <w:sz w:val="24"/>
                          <w:szCs w:val="24"/>
                        </w:rPr>
                      </w:pPr>
                      <w:r w:rsidRPr="00D07F2A">
                        <w:rPr>
                          <w:rFonts w:cs="Arial"/>
                          <w:color w:val="0D0D0D" w:themeColor="text1" w:themeTint="F2"/>
                          <w:sz w:val="24"/>
                          <w:szCs w:val="24"/>
                          <w:lang w:val="es-ES_tradnl"/>
                        </w:rPr>
                        <w:t>CHILE</w:t>
                      </w:r>
                    </w:p>
                    <w:p w:rsidR="00F5327F" w:rsidRPr="00AE5488" w:rsidRDefault="00F5327F" w:rsidP="007A5817">
                      <w:pPr>
                        <w:rPr>
                          <w:color w:val="0D0D0D" w:themeColor="text1" w:themeTint="F2"/>
                          <w:lang w:val="es-ES_tradnl"/>
                        </w:rPr>
                      </w:pPr>
                    </w:p>
                  </w:txbxContent>
                </v:textbox>
              </v:shape>
            </w:pict>
          </mc:Fallback>
        </mc:AlternateContent>
      </w:r>
      <w:r w:rsidR="004E2649" w:rsidRPr="0090270B">
        <w:rPr>
          <w:noProof/>
          <w:sz w:val="22"/>
          <w:szCs w:val="22"/>
          <w:lang w:val="en-US" w:eastAsia="en-US"/>
        </w:rPr>
        <mc:AlternateContent>
          <mc:Choice Requires="wps">
            <w:drawing>
              <wp:anchor distT="0" distB="0" distL="114300" distR="114300" simplePos="0" relativeHeight="251671552" behindDoc="0" locked="0" layoutInCell="1" allowOverlap="1" wp14:anchorId="08972A16" wp14:editId="2A3650C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8CB92" w14:textId="77777777" w:rsidR="00F5327F" w:rsidRPr="00A27CA2" w:rsidRDefault="00F5327F" w:rsidP="007A5817">
                            <w:pPr>
                              <w:spacing w:line="276" w:lineRule="auto"/>
                              <w:jc w:val="right"/>
                              <w:rPr>
                                <w:rFonts w:asciiTheme="minorHAnsi" w:hAnsiTheme="minorHAnsi"/>
                                <w:color w:val="FFFFFF" w:themeColor="background1"/>
                                <w:sz w:val="22"/>
                                <w:lang w:val="pt-BR"/>
                              </w:rPr>
                            </w:pPr>
                            <w:r w:rsidRPr="00A27CA2">
                              <w:rPr>
                                <w:rFonts w:asciiTheme="minorHAnsi" w:hAnsiTheme="minorHAnsi"/>
                                <w:color w:val="FFFFFF" w:themeColor="background1"/>
                                <w:sz w:val="22"/>
                                <w:lang w:val="pt-BR"/>
                              </w:rPr>
                              <w:t>OEA/Ser.L/V/II.171</w:t>
                            </w:r>
                          </w:p>
                          <w:p w14:paraId="26469A79" w14:textId="77777777" w:rsidR="00F5327F" w:rsidRPr="00A27CA2" w:rsidRDefault="00F5327F" w:rsidP="007A5817">
                            <w:pPr>
                              <w:spacing w:line="276" w:lineRule="auto"/>
                              <w:jc w:val="right"/>
                              <w:rPr>
                                <w:rFonts w:asciiTheme="minorHAnsi" w:hAnsiTheme="minorHAnsi"/>
                                <w:color w:val="FFFFFF" w:themeColor="background1"/>
                                <w:sz w:val="22"/>
                                <w:lang w:val="pt-BR"/>
                              </w:rPr>
                            </w:pPr>
                            <w:r w:rsidRPr="00A27CA2">
                              <w:rPr>
                                <w:rFonts w:asciiTheme="minorHAnsi" w:hAnsiTheme="minorHAnsi"/>
                                <w:color w:val="FFFFFF" w:themeColor="background1"/>
                                <w:sz w:val="22"/>
                                <w:lang w:val="pt-BR"/>
                              </w:rPr>
                              <w:t>Doc. 15</w:t>
                            </w:r>
                          </w:p>
                          <w:p w14:paraId="7DA0E626" w14:textId="77777777" w:rsidR="00F5327F" w:rsidRPr="007C756A" w:rsidRDefault="00F5327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12</w:t>
                            </w:r>
                            <w:r w:rsidRPr="007C756A">
                              <w:rPr>
                                <w:rFonts w:asciiTheme="minorHAnsi" w:hAnsiTheme="minorHAnsi"/>
                                <w:color w:val="FFFFFF" w:themeColor="background1"/>
                                <w:sz w:val="22"/>
                                <w:lang w:val="es-US"/>
                              </w:rPr>
                              <w:t xml:space="preserve"> de </w:t>
                            </w:r>
                            <w:r>
                              <w:rPr>
                                <w:rFonts w:asciiTheme="minorHAnsi" w:hAnsiTheme="minorHAnsi"/>
                                <w:color w:val="FFFFFF" w:themeColor="background1"/>
                                <w:sz w:val="22"/>
                                <w:lang w:val="es-US"/>
                              </w:rPr>
                              <w:t>febrero</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14:paraId="20AA49FA" w14:textId="77777777" w:rsidR="00F5327F" w:rsidRPr="007C756A" w:rsidRDefault="00F5327F"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07C5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5327F" w:rsidRPr="00A27CA2" w:rsidRDefault="00F5327F" w:rsidP="007A5817">
                      <w:pPr>
                        <w:spacing w:line="276" w:lineRule="auto"/>
                        <w:jc w:val="right"/>
                        <w:rPr>
                          <w:rFonts w:asciiTheme="minorHAnsi" w:hAnsiTheme="minorHAnsi"/>
                          <w:color w:val="FFFFFF" w:themeColor="background1"/>
                          <w:sz w:val="22"/>
                          <w:lang w:val="pt-BR"/>
                        </w:rPr>
                      </w:pPr>
                      <w:r w:rsidRPr="00A27CA2">
                        <w:rPr>
                          <w:rFonts w:asciiTheme="minorHAnsi" w:hAnsiTheme="minorHAnsi"/>
                          <w:color w:val="FFFFFF" w:themeColor="background1"/>
                          <w:sz w:val="22"/>
                          <w:lang w:val="pt-BR"/>
                        </w:rPr>
                        <w:t>OEA/Ser.L/V/II.171</w:t>
                      </w:r>
                    </w:p>
                    <w:p w:rsidR="00F5327F" w:rsidRPr="00A27CA2" w:rsidRDefault="00F5327F" w:rsidP="007A5817">
                      <w:pPr>
                        <w:spacing w:line="276" w:lineRule="auto"/>
                        <w:jc w:val="right"/>
                        <w:rPr>
                          <w:rFonts w:asciiTheme="minorHAnsi" w:hAnsiTheme="minorHAnsi"/>
                          <w:color w:val="FFFFFF" w:themeColor="background1"/>
                          <w:sz w:val="22"/>
                          <w:lang w:val="pt-BR"/>
                        </w:rPr>
                      </w:pPr>
                      <w:r w:rsidRPr="00A27CA2">
                        <w:rPr>
                          <w:rFonts w:asciiTheme="minorHAnsi" w:hAnsiTheme="minorHAnsi"/>
                          <w:color w:val="FFFFFF" w:themeColor="background1"/>
                          <w:sz w:val="22"/>
                          <w:lang w:val="pt-BR"/>
                        </w:rPr>
                        <w:t>Doc. 15</w:t>
                      </w:r>
                    </w:p>
                    <w:p w:rsidR="00F5327F" w:rsidRPr="007C756A" w:rsidRDefault="00F5327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12</w:t>
                      </w:r>
                      <w:r w:rsidRPr="007C756A">
                        <w:rPr>
                          <w:rFonts w:asciiTheme="minorHAnsi" w:hAnsiTheme="minorHAnsi"/>
                          <w:color w:val="FFFFFF" w:themeColor="background1"/>
                          <w:sz w:val="22"/>
                          <w:lang w:val="es-US"/>
                        </w:rPr>
                        <w:t xml:space="preserve"> de </w:t>
                      </w:r>
                      <w:r>
                        <w:rPr>
                          <w:rFonts w:asciiTheme="minorHAnsi" w:hAnsiTheme="minorHAnsi"/>
                          <w:color w:val="FFFFFF" w:themeColor="background1"/>
                          <w:sz w:val="22"/>
                          <w:lang w:val="es-US"/>
                        </w:rPr>
                        <w:t>febrero</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rsidR="00F5327F" w:rsidRPr="007C756A" w:rsidRDefault="00F5327F"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3AFA8143" w14:textId="77777777" w:rsidR="00040C3A" w:rsidRPr="0090270B" w:rsidRDefault="00040C3A" w:rsidP="00040C3A">
      <w:pPr>
        <w:tabs>
          <w:tab w:val="center" w:pos="5400"/>
        </w:tabs>
        <w:suppressAutoHyphens/>
        <w:jc w:val="center"/>
        <w:rPr>
          <w:sz w:val="22"/>
          <w:szCs w:val="22"/>
          <w:lang w:val="es-ES_tradnl"/>
        </w:rPr>
      </w:pPr>
    </w:p>
    <w:p w14:paraId="373DC1C7" w14:textId="77777777" w:rsidR="00040C3A" w:rsidRPr="0090270B" w:rsidRDefault="00040C3A" w:rsidP="00040C3A">
      <w:pPr>
        <w:tabs>
          <w:tab w:val="center" w:pos="5400"/>
        </w:tabs>
        <w:suppressAutoHyphens/>
        <w:jc w:val="center"/>
        <w:rPr>
          <w:sz w:val="22"/>
          <w:szCs w:val="22"/>
          <w:lang w:val="es-ES_tradnl"/>
        </w:rPr>
      </w:pPr>
    </w:p>
    <w:p w14:paraId="573FD259" w14:textId="77777777" w:rsidR="00040C3A" w:rsidRPr="0090270B" w:rsidRDefault="00040C3A" w:rsidP="00040C3A">
      <w:pPr>
        <w:tabs>
          <w:tab w:val="center" w:pos="5400"/>
        </w:tabs>
        <w:suppressAutoHyphens/>
        <w:jc w:val="center"/>
        <w:rPr>
          <w:rFonts w:cs="Arial"/>
          <w:sz w:val="22"/>
          <w:szCs w:val="22"/>
          <w:lang w:val="es-ES_tradnl"/>
        </w:rPr>
      </w:pPr>
    </w:p>
    <w:p w14:paraId="46757F1E" w14:textId="77777777" w:rsidR="00040C3A" w:rsidRPr="0090270B" w:rsidRDefault="00040C3A" w:rsidP="00040C3A">
      <w:pPr>
        <w:tabs>
          <w:tab w:val="center" w:pos="5400"/>
        </w:tabs>
        <w:suppressAutoHyphens/>
        <w:jc w:val="center"/>
        <w:rPr>
          <w:sz w:val="22"/>
          <w:szCs w:val="22"/>
          <w:lang w:val="es-ES_tradnl"/>
        </w:rPr>
      </w:pPr>
    </w:p>
    <w:p w14:paraId="249A731F" w14:textId="77777777" w:rsidR="00040C3A" w:rsidRPr="0090270B" w:rsidRDefault="00040C3A" w:rsidP="00040C3A">
      <w:pPr>
        <w:tabs>
          <w:tab w:val="center" w:pos="5400"/>
        </w:tabs>
        <w:suppressAutoHyphens/>
        <w:jc w:val="center"/>
        <w:rPr>
          <w:sz w:val="22"/>
          <w:szCs w:val="22"/>
          <w:lang w:val="es-ES_tradnl"/>
        </w:rPr>
      </w:pPr>
    </w:p>
    <w:p w14:paraId="543F4234" w14:textId="77777777" w:rsidR="00040C3A" w:rsidRPr="0090270B" w:rsidRDefault="00040C3A" w:rsidP="00040C3A">
      <w:pPr>
        <w:tabs>
          <w:tab w:val="center" w:pos="5400"/>
        </w:tabs>
        <w:suppressAutoHyphens/>
        <w:jc w:val="center"/>
        <w:rPr>
          <w:sz w:val="22"/>
          <w:szCs w:val="22"/>
          <w:lang w:val="es-ES_tradnl"/>
        </w:rPr>
      </w:pPr>
    </w:p>
    <w:p w14:paraId="19DBABD8" w14:textId="77777777" w:rsidR="00040C3A" w:rsidRPr="0090270B" w:rsidRDefault="00040C3A" w:rsidP="00040C3A">
      <w:pPr>
        <w:tabs>
          <w:tab w:val="center" w:pos="5400"/>
        </w:tabs>
        <w:suppressAutoHyphens/>
        <w:jc w:val="center"/>
        <w:rPr>
          <w:sz w:val="22"/>
          <w:szCs w:val="22"/>
          <w:lang w:val="es-ES_tradnl"/>
        </w:rPr>
      </w:pPr>
    </w:p>
    <w:p w14:paraId="1B5C46FA" w14:textId="77777777" w:rsidR="005128E4" w:rsidRPr="0090270B" w:rsidRDefault="005128E4" w:rsidP="00040C3A">
      <w:pPr>
        <w:tabs>
          <w:tab w:val="center" w:pos="5400"/>
        </w:tabs>
        <w:suppressAutoHyphens/>
        <w:jc w:val="center"/>
        <w:rPr>
          <w:sz w:val="22"/>
          <w:szCs w:val="22"/>
          <w:lang w:val="es-ES_tradnl"/>
        </w:rPr>
      </w:pPr>
    </w:p>
    <w:p w14:paraId="3E1B9F91" w14:textId="77777777" w:rsidR="00040C3A" w:rsidRPr="0090270B" w:rsidRDefault="00040C3A" w:rsidP="00040C3A">
      <w:pPr>
        <w:tabs>
          <w:tab w:val="center" w:pos="5400"/>
        </w:tabs>
        <w:suppressAutoHyphens/>
        <w:jc w:val="center"/>
        <w:rPr>
          <w:sz w:val="22"/>
          <w:szCs w:val="22"/>
          <w:lang w:val="es-ES_tradnl"/>
        </w:rPr>
      </w:pPr>
    </w:p>
    <w:p w14:paraId="44C540BD" w14:textId="77777777" w:rsidR="005128E4" w:rsidRPr="0090270B" w:rsidRDefault="005128E4" w:rsidP="00040C3A">
      <w:pPr>
        <w:tabs>
          <w:tab w:val="center" w:pos="5400"/>
        </w:tabs>
        <w:suppressAutoHyphens/>
        <w:jc w:val="center"/>
        <w:rPr>
          <w:sz w:val="22"/>
          <w:szCs w:val="22"/>
          <w:lang w:val="es-ES_tradnl"/>
        </w:rPr>
      </w:pPr>
    </w:p>
    <w:p w14:paraId="5E515BF0" w14:textId="77777777" w:rsidR="005128E4" w:rsidRPr="0090270B" w:rsidRDefault="005128E4" w:rsidP="00040C3A">
      <w:pPr>
        <w:tabs>
          <w:tab w:val="center" w:pos="5400"/>
        </w:tabs>
        <w:suppressAutoHyphens/>
        <w:jc w:val="center"/>
        <w:rPr>
          <w:sz w:val="22"/>
          <w:szCs w:val="22"/>
          <w:lang w:val="es-ES_tradnl"/>
        </w:rPr>
      </w:pPr>
    </w:p>
    <w:p w14:paraId="7240F8C0" w14:textId="77777777" w:rsidR="005128E4" w:rsidRPr="0090270B" w:rsidRDefault="005128E4" w:rsidP="00040C3A">
      <w:pPr>
        <w:tabs>
          <w:tab w:val="center" w:pos="5400"/>
        </w:tabs>
        <w:suppressAutoHyphens/>
        <w:jc w:val="center"/>
        <w:rPr>
          <w:sz w:val="22"/>
          <w:szCs w:val="22"/>
          <w:lang w:val="es-ES_tradnl"/>
        </w:rPr>
      </w:pPr>
    </w:p>
    <w:p w14:paraId="4193D38A" w14:textId="77777777" w:rsidR="00040C3A" w:rsidRPr="0090270B" w:rsidRDefault="00040C3A" w:rsidP="00040C3A">
      <w:pPr>
        <w:tabs>
          <w:tab w:val="center" w:pos="5400"/>
        </w:tabs>
        <w:suppressAutoHyphens/>
        <w:jc w:val="center"/>
        <w:rPr>
          <w:sz w:val="22"/>
          <w:szCs w:val="22"/>
          <w:lang w:val="es-ES_tradnl"/>
        </w:rPr>
      </w:pPr>
    </w:p>
    <w:p w14:paraId="5F271D4A" w14:textId="77777777" w:rsidR="00040C3A" w:rsidRPr="0090270B" w:rsidRDefault="00040C3A" w:rsidP="00040C3A">
      <w:pPr>
        <w:tabs>
          <w:tab w:val="center" w:pos="5400"/>
        </w:tabs>
        <w:suppressAutoHyphens/>
        <w:jc w:val="center"/>
        <w:rPr>
          <w:sz w:val="22"/>
          <w:szCs w:val="22"/>
          <w:lang w:val="es-ES_tradnl"/>
        </w:rPr>
      </w:pPr>
    </w:p>
    <w:p w14:paraId="7A9B76A6" w14:textId="77777777" w:rsidR="00A50FCF" w:rsidRPr="0090270B" w:rsidRDefault="00A50FCF" w:rsidP="00040C3A">
      <w:pPr>
        <w:tabs>
          <w:tab w:val="center" w:pos="5400"/>
        </w:tabs>
        <w:suppressAutoHyphens/>
        <w:jc w:val="center"/>
        <w:rPr>
          <w:sz w:val="18"/>
          <w:szCs w:val="22"/>
          <w:lang w:val="es-ES_tradnl"/>
        </w:rPr>
      </w:pPr>
    </w:p>
    <w:p w14:paraId="3923A52F" w14:textId="77777777" w:rsidR="00A50FCF" w:rsidRPr="0090270B" w:rsidRDefault="00A50FCF" w:rsidP="00040C3A">
      <w:pPr>
        <w:tabs>
          <w:tab w:val="center" w:pos="5400"/>
        </w:tabs>
        <w:suppressAutoHyphens/>
        <w:jc w:val="center"/>
        <w:rPr>
          <w:sz w:val="18"/>
          <w:szCs w:val="22"/>
          <w:lang w:val="es-ES_tradnl"/>
        </w:rPr>
      </w:pPr>
    </w:p>
    <w:p w14:paraId="2784BEB0" w14:textId="77777777" w:rsidR="00A50FCF" w:rsidRPr="0090270B" w:rsidRDefault="00A50FCF" w:rsidP="00040C3A">
      <w:pPr>
        <w:tabs>
          <w:tab w:val="center" w:pos="5400"/>
        </w:tabs>
        <w:suppressAutoHyphens/>
        <w:jc w:val="center"/>
        <w:rPr>
          <w:sz w:val="18"/>
          <w:szCs w:val="22"/>
          <w:lang w:val="es-ES_tradnl"/>
        </w:rPr>
      </w:pPr>
    </w:p>
    <w:p w14:paraId="2A942BC6" w14:textId="77777777" w:rsidR="00A50FCF" w:rsidRPr="0090270B" w:rsidRDefault="00A50FCF" w:rsidP="00040C3A">
      <w:pPr>
        <w:tabs>
          <w:tab w:val="center" w:pos="5400"/>
        </w:tabs>
        <w:suppressAutoHyphens/>
        <w:jc w:val="center"/>
        <w:rPr>
          <w:sz w:val="18"/>
          <w:szCs w:val="22"/>
          <w:lang w:val="es-ES_tradnl"/>
        </w:rPr>
      </w:pPr>
    </w:p>
    <w:p w14:paraId="1160097F" w14:textId="77777777" w:rsidR="00A50FCF" w:rsidRPr="0090270B" w:rsidRDefault="00A50FCF" w:rsidP="00040C3A">
      <w:pPr>
        <w:tabs>
          <w:tab w:val="center" w:pos="5400"/>
        </w:tabs>
        <w:suppressAutoHyphens/>
        <w:jc w:val="center"/>
        <w:rPr>
          <w:sz w:val="18"/>
          <w:szCs w:val="22"/>
          <w:lang w:val="es-ES_tradnl"/>
        </w:rPr>
      </w:pPr>
    </w:p>
    <w:p w14:paraId="2C591A50" w14:textId="77777777" w:rsidR="00A50FCF" w:rsidRPr="0090270B" w:rsidRDefault="00A50FCF" w:rsidP="00040C3A">
      <w:pPr>
        <w:tabs>
          <w:tab w:val="center" w:pos="5400"/>
        </w:tabs>
        <w:suppressAutoHyphens/>
        <w:jc w:val="center"/>
        <w:rPr>
          <w:sz w:val="18"/>
          <w:szCs w:val="22"/>
          <w:lang w:val="es-ES_tradnl"/>
        </w:rPr>
      </w:pPr>
    </w:p>
    <w:p w14:paraId="71534C58" w14:textId="77777777" w:rsidR="00A50FCF" w:rsidRPr="0090270B" w:rsidRDefault="00A50FCF" w:rsidP="00040C3A">
      <w:pPr>
        <w:tabs>
          <w:tab w:val="center" w:pos="5400"/>
        </w:tabs>
        <w:suppressAutoHyphens/>
        <w:jc w:val="center"/>
        <w:rPr>
          <w:sz w:val="18"/>
          <w:szCs w:val="22"/>
          <w:lang w:val="es-ES_tradnl"/>
        </w:rPr>
      </w:pPr>
    </w:p>
    <w:p w14:paraId="23A4D1A5" w14:textId="77777777" w:rsidR="00A50FCF" w:rsidRPr="0090270B" w:rsidRDefault="00A50FCF" w:rsidP="00040C3A">
      <w:pPr>
        <w:tabs>
          <w:tab w:val="center" w:pos="5400"/>
        </w:tabs>
        <w:suppressAutoHyphens/>
        <w:jc w:val="center"/>
        <w:rPr>
          <w:sz w:val="18"/>
          <w:szCs w:val="22"/>
          <w:lang w:val="es-ES_tradnl"/>
        </w:rPr>
      </w:pPr>
    </w:p>
    <w:p w14:paraId="050B5C38" w14:textId="77777777" w:rsidR="00A50FCF" w:rsidRPr="0090270B" w:rsidRDefault="00A50FCF" w:rsidP="00040C3A">
      <w:pPr>
        <w:tabs>
          <w:tab w:val="center" w:pos="5400"/>
        </w:tabs>
        <w:suppressAutoHyphens/>
        <w:jc w:val="center"/>
        <w:rPr>
          <w:sz w:val="18"/>
          <w:szCs w:val="22"/>
          <w:lang w:val="es-ES_tradnl"/>
        </w:rPr>
      </w:pPr>
    </w:p>
    <w:p w14:paraId="1FDD8971" w14:textId="77777777" w:rsidR="00A50FCF" w:rsidRPr="0090270B" w:rsidRDefault="00A50FCF" w:rsidP="00040C3A">
      <w:pPr>
        <w:tabs>
          <w:tab w:val="center" w:pos="5400"/>
        </w:tabs>
        <w:suppressAutoHyphens/>
        <w:jc w:val="center"/>
        <w:rPr>
          <w:sz w:val="18"/>
          <w:szCs w:val="22"/>
          <w:lang w:val="es-ES_tradnl"/>
        </w:rPr>
      </w:pPr>
    </w:p>
    <w:p w14:paraId="10EE7744" w14:textId="77777777" w:rsidR="00A50FCF" w:rsidRPr="0090270B" w:rsidRDefault="00A50FCF" w:rsidP="00040C3A">
      <w:pPr>
        <w:tabs>
          <w:tab w:val="center" w:pos="5400"/>
        </w:tabs>
        <w:suppressAutoHyphens/>
        <w:jc w:val="center"/>
        <w:rPr>
          <w:sz w:val="18"/>
          <w:szCs w:val="22"/>
          <w:lang w:val="es-ES_tradnl"/>
        </w:rPr>
      </w:pPr>
    </w:p>
    <w:p w14:paraId="27621C8F" w14:textId="77777777" w:rsidR="00A50FCF" w:rsidRPr="0090270B" w:rsidRDefault="00A50FCF" w:rsidP="00040C3A">
      <w:pPr>
        <w:tabs>
          <w:tab w:val="center" w:pos="5400"/>
        </w:tabs>
        <w:suppressAutoHyphens/>
        <w:jc w:val="center"/>
        <w:rPr>
          <w:sz w:val="18"/>
          <w:szCs w:val="22"/>
          <w:lang w:val="es-ES_tradnl"/>
        </w:rPr>
      </w:pPr>
    </w:p>
    <w:p w14:paraId="79EE5DE8" w14:textId="77777777" w:rsidR="00A50FCF" w:rsidRPr="0090270B" w:rsidRDefault="00A50FCF" w:rsidP="00040C3A">
      <w:pPr>
        <w:tabs>
          <w:tab w:val="center" w:pos="5400"/>
        </w:tabs>
        <w:suppressAutoHyphens/>
        <w:jc w:val="center"/>
        <w:rPr>
          <w:sz w:val="18"/>
          <w:szCs w:val="22"/>
          <w:lang w:val="es-ES_tradnl"/>
        </w:rPr>
      </w:pPr>
    </w:p>
    <w:p w14:paraId="489583D1" w14:textId="77777777" w:rsidR="00A50FCF" w:rsidRPr="0090270B" w:rsidRDefault="00A50FCF" w:rsidP="00040C3A">
      <w:pPr>
        <w:tabs>
          <w:tab w:val="center" w:pos="5400"/>
        </w:tabs>
        <w:suppressAutoHyphens/>
        <w:jc w:val="center"/>
        <w:rPr>
          <w:sz w:val="18"/>
          <w:szCs w:val="22"/>
          <w:lang w:val="es-ES_tradnl"/>
        </w:rPr>
      </w:pPr>
    </w:p>
    <w:p w14:paraId="2AEED08E" w14:textId="77777777" w:rsidR="00A50FCF" w:rsidRPr="0090270B" w:rsidRDefault="0090270B" w:rsidP="00040C3A">
      <w:pPr>
        <w:tabs>
          <w:tab w:val="center" w:pos="5400"/>
        </w:tabs>
        <w:suppressAutoHyphens/>
        <w:jc w:val="center"/>
        <w:rPr>
          <w:sz w:val="18"/>
          <w:szCs w:val="22"/>
          <w:lang w:val="es-ES_tradnl"/>
        </w:rPr>
      </w:pPr>
      <w:r w:rsidRPr="0090270B">
        <w:rPr>
          <w:noProof/>
          <w:sz w:val="22"/>
          <w:szCs w:val="22"/>
          <w:lang w:val="en-US" w:eastAsia="en-US"/>
        </w:rPr>
        <mc:AlternateContent>
          <mc:Choice Requires="wps">
            <w:drawing>
              <wp:anchor distT="0" distB="0" distL="114300" distR="114300" simplePos="0" relativeHeight="251670528" behindDoc="0" locked="0" layoutInCell="1" allowOverlap="1" wp14:anchorId="00C4CFE3" wp14:editId="1967EDC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54BE7" w14:textId="77777777" w:rsidR="00F5327F" w:rsidRPr="00890650" w:rsidRDefault="00F5327F" w:rsidP="00DD3D86">
                            <w:pPr>
                              <w:tabs>
                                <w:tab w:val="center" w:pos="5400"/>
                              </w:tabs>
                              <w:suppressAutoHyphens/>
                              <w:spacing w:before="60"/>
                              <w:rPr>
                                <w:color w:val="0D0D0D" w:themeColor="text1" w:themeTint="F2"/>
                                <w:sz w:val="18"/>
                                <w:szCs w:val="22"/>
                              </w:rPr>
                            </w:pPr>
                            <w:r w:rsidRPr="00890650">
                              <w:rPr>
                                <w:color w:val="0D0D0D" w:themeColor="text1" w:themeTint="F2"/>
                                <w:sz w:val="18"/>
                                <w:szCs w:val="20"/>
                              </w:rPr>
                              <w:t>Aprobado por la Comisión en su sesión N</w:t>
                            </w:r>
                            <w:r>
                              <w:rPr>
                                <w:color w:val="0D0D0D" w:themeColor="text1" w:themeTint="F2"/>
                                <w:sz w:val="18"/>
                                <w:szCs w:val="20"/>
                              </w:rPr>
                              <w:t xml:space="preserve">o. 2147 </w:t>
                            </w:r>
                            <w:r w:rsidRPr="00890650">
                              <w:rPr>
                                <w:color w:val="0D0D0D" w:themeColor="text1" w:themeTint="F2"/>
                                <w:sz w:val="18"/>
                                <w:szCs w:val="20"/>
                              </w:rPr>
                              <w:t>c</w:t>
                            </w:r>
                            <w:r>
                              <w:rPr>
                                <w:color w:val="0D0D0D" w:themeColor="text1" w:themeTint="F2"/>
                                <w:sz w:val="18"/>
                                <w:szCs w:val="20"/>
                              </w:rPr>
                              <w:t>elebrada el  12 de febrero de 2019</w:t>
                            </w:r>
                            <w:r w:rsidRPr="00890650">
                              <w:rPr>
                                <w:color w:val="0D0D0D" w:themeColor="text1" w:themeTint="F2"/>
                                <w:sz w:val="18"/>
                                <w:szCs w:val="20"/>
                              </w:rPr>
                              <w:br/>
                            </w:r>
                            <w:r>
                              <w:rPr>
                                <w:rFonts w:cs="Univers"/>
                                <w:color w:val="0D0D0D" w:themeColor="text1" w:themeTint="F2"/>
                                <w:sz w:val="18"/>
                                <w:szCs w:val="20"/>
                                <w:lang w:val="es-ES_tradnl"/>
                              </w:rPr>
                              <w:t>171 P</w:t>
                            </w:r>
                            <w:r w:rsidRPr="00890650">
                              <w:rPr>
                                <w:rFonts w:cs="Univers"/>
                                <w:color w:val="0D0D0D" w:themeColor="text1" w:themeTint="F2"/>
                                <w:sz w:val="18"/>
                                <w:szCs w:val="20"/>
                                <w:lang w:val="es-ES_tradnl"/>
                              </w:rPr>
                              <w:t xml:space="preserve">eríodo </w:t>
                            </w:r>
                            <w:r>
                              <w:rPr>
                                <w:rFonts w:cs="Univers"/>
                                <w:color w:val="0D0D0D" w:themeColor="text1" w:themeTint="F2"/>
                                <w:sz w:val="18"/>
                                <w:szCs w:val="20"/>
                                <w:lang w:val="es-ES_tradnl"/>
                              </w:rPr>
                              <w:t>Extraordinario de S</w:t>
                            </w:r>
                            <w:r w:rsidRPr="00890650">
                              <w:rPr>
                                <w:rFonts w:cs="Univers"/>
                                <w:color w:val="0D0D0D" w:themeColor="text1" w:themeTint="F2"/>
                                <w:sz w:val="18"/>
                                <w:szCs w:val="20"/>
                                <w:lang w:val="es-ES_tradnl"/>
                              </w:rPr>
                              <w:t>esiones</w:t>
                            </w:r>
                            <w:r w:rsidRPr="00890650">
                              <w:rPr>
                                <w:color w:val="0D0D0D" w:themeColor="text1" w:themeTint="F2"/>
                                <w:sz w:val="18"/>
                                <w:szCs w:val="22"/>
                              </w:rPr>
                              <w:t xml:space="preserve"> </w:t>
                            </w:r>
                          </w:p>
                          <w:p w14:paraId="0BCDB69C" w14:textId="77777777" w:rsidR="00F5327F" w:rsidRPr="007A5817" w:rsidRDefault="00F5327F" w:rsidP="00247403">
                            <w:pPr>
                              <w:tabs>
                                <w:tab w:val="center" w:pos="5400"/>
                              </w:tabs>
                              <w:suppressAutoHyphens/>
                              <w:spacing w:before="60"/>
                              <w:rPr>
                                <w:rFonts w:asciiTheme="minorHAnsi" w:hAnsiTheme="minorHAnsi" w:cs="Univers"/>
                                <w:color w:val="0D0D0D" w:themeColor="text1" w:themeTint="F2"/>
                                <w:sz w:val="20"/>
                                <w:szCs w:val="20"/>
                              </w:rPr>
                            </w:pPr>
                          </w:p>
                          <w:p w14:paraId="6DE34268" w14:textId="77777777" w:rsidR="00F5327F" w:rsidRPr="00167A34" w:rsidRDefault="00F5327F" w:rsidP="0059191A">
                            <w:pPr>
                              <w:tabs>
                                <w:tab w:val="center" w:pos="5400"/>
                              </w:tabs>
                              <w:suppressAutoHyphens/>
                              <w:spacing w:before="60"/>
                              <w:rPr>
                                <w:rFonts w:ascii="Calibri" w:hAnsi="Calibri"/>
                                <w:color w:val="FFFFFF" w:themeColor="background1"/>
                                <w:spacing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8D8B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5327F" w:rsidRPr="00890650" w:rsidRDefault="00F5327F" w:rsidP="00DD3D86">
                      <w:pPr>
                        <w:tabs>
                          <w:tab w:val="center" w:pos="5400"/>
                        </w:tabs>
                        <w:suppressAutoHyphens/>
                        <w:spacing w:before="60"/>
                        <w:rPr>
                          <w:color w:val="0D0D0D" w:themeColor="text1" w:themeTint="F2"/>
                          <w:sz w:val="18"/>
                          <w:szCs w:val="22"/>
                        </w:rPr>
                      </w:pPr>
                      <w:r w:rsidRPr="00890650">
                        <w:rPr>
                          <w:color w:val="0D0D0D" w:themeColor="text1" w:themeTint="F2"/>
                          <w:sz w:val="18"/>
                          <w:szCs w:val="20"/>
                        </w:rPr>
                        <w:t>Aprobado por la Comisión en su sesión N</w:t>
                      </w:r>
                      <w:r>
                        <w:rPr>
                          <w:color w:val="0D0D0D" w:themeColor="text1" w:themeTint="F2"/>
                          <w:sz w:val="18"/>
                          <w:szCs w:val="20"/>
                        </w:rPr>
                        <w:t xml:space="preserve">o. 2147 </w:t>
                      </w:r>
                      <w:r w:rsidRPr="00890650">
                        <w:rPr>
                          <w:color w:val="0D0D0D" w:themeColor="text1" w:themeTint="F2"/>
                          <w:sz w:val="18"/>
                          <w:szCs w:val="20"/>
                        </w:rPr>
                        <w:t>c</w:t>
                      </w:r>
                      <w:r>
                        <w:rPr>
                          <w:color w:val="0D0D0D" w:themeColor="text1" w:themeTint="F2"/>
                          <w:sz w:val="18"/>
                          <w:szCs w:val="20"/>
                        </w:rPr>
                        <w:t>elebrada el  12 de febrero de 2019</w:t>
                      </w:r>
                      <w:r w:rsidRPr="00890650">
                        <w:rPr>
                          <w:color w:val="0D0D0D" w:themeColor="text1" w:themeTint="F2"/>
                          <w:sz w:val="18"/>
                          <w:szCs w:val="20"/>
                        </w:rPr>
                        <w:br/>
                      </w:r>
                      <w:r>
                        <w:rPr>
                          <w:rFonts w:cs="Univers"/>
                          <w:color w:val="0D0D0D" w:themeColor="text1" w:themeTint="F2"/>
                          <w:sz w:val="18"/>
                          <w:szCs w:val="20"/>
                          <w:lang w:val="es-ES_tradnl"/>
                        </w:rPr>
                        <w:t>171 P</w:t>
                      </w:r>
                      <w:r w:rsidRPr="00890650">
                        <w:rPr>
                          <w:rFonts w:cs="Univers"/>
                          <w:color w:val="0D0D0D" w:themeColor="text1" w:themeTint="F2"/>
                          <w:sz w:val="18"/>
                          <w:szCs w:val="20"/>
                          <w:lang w:val="es-ES_tradnl"/>
                        </w:rPr>
                        <w:t xml:space="preserve">eríodo </w:t>
                      </w:r>
                      <w:r>
                        <w:rPr>
                          <w:rFonts w:cs="Univers"/>
                          <w:color w:val="0D0D0D" w:themeColor="text1" w:themeTint="F2"/>
                          <w:sz w:val="18"/>
                          <w:szCs w:val="20"/>
                          <w:lang w:val="es-ES_tradnl"/>
                        </w:rPr>
                        <w:t>Extraordinario de S</w:t>
                      </w:r>
                      <w:r w:rsidRPr="00890650">
                        <w:rPr>
                          <w:rFonts w:cs="Univers"/>
                          <w:color w:val="0D0D0D" w:themeColor="text1" w:themeTint="F2"/>
                          <w:sz w:val="18"/>
                          <w:szCs w:val="20"/>
                          <w:lang w:val="es-ES_tradnl"/>
                        </w:rPr>
                        <w:t>esiones</w:t>
                      </w:r>
                      <w:r w:rsidRPr="00890650">
                        <w:rPr>
                          <w:color w:val="0D0D0D" w:themeColor="text1" w:themeTint="F2"/>
                          <w:sz w:val="18"/>
                          <w:szCs w:val="22"/>
                        </w:rPr>
                        <w:t xml:space="preserve"> </w:t>
                      </w:r>
                    </w:p>
                    <w:p w:rsidR="00F5327F" w:rsidRPr="007A5817" w:rsidRDefault="00F5327F" w:rsidP="00247403">
                      <w:pPr>
                        <w:tabs>
                          <w:tab w:val="center" w:pos="5400"/>
                        </w:tabs>
                        <w:suppressAutoHyphens/>
                        <w:spacing w:before="60"/>
                        <w:rPr>
                          <w:rFonts w:asciiTheme="minorHAnsi" w:hAnsiTheme="minorHAnsi" w:cs="Univers"/>
                          <w:color w:val="0D0D0D" w:themeColor="text1" w:themeTint="F2"/>
                          <w:sz w:val="20"/>
                          <w:szCs w:val="20"/>
                        </w:rPr>
                      </w:pPr>
                    </w:p>
                    <w:p w:rsidR="00F5327F" w:rsidRPr="00167A34" w:rsidRDefault="00F5327F" w:rsidP="0059191A">
                      <w:pPr>
                        <w:tabs>
                          <w:tab w:val="center" w:pos="5400"/>
                        </w:tabs>
                        <w:suppressAutoHyphens/>
                        <w:spacing w:before="60"/>
                        <w:rPr>
                          <w:rFonts w:ascii="Calibri" w:hAnsi="Calibri"/>
                          <w:color w:val="FFFFFF" w:themeColor="background1"/>
                          <w:spacing w:val="-2"/>
                        </w:rPr>
                      </w:pPr>
                    </w:p>
                  </w:txbxContent>
                </v:textbox>
              </v:shape>
            </w:pict>
          </mc:Fallback>
        </mc:AlternateContent>
      </w:r>
    </w:p>
    <w:p w14:paraId="26C39315" w14:textId="77777777" w:rsidR="00A50FCF" w:rsidRPr="0090270B" w:rsidRDefault="00A50FCF" w:rsidP="00040C3A">
      <w:pPr>
        <w:tabs>
          <w:tab w:val="center" w:pos="5400"/>
        </w:tabs>
        <w:suppressAutoHyphens/>
        <w:jc w:val="center"/>
        <w:rPr>
          <w:sz w:val="18"/>
          <w:szCs w:val="22"/>
          <w:lang w:val="es-ES_tradnl"/>
        </w:rPr>
      </w:pPr>
    </w:p>
    <w:p w14:paraId="37EE48A6" w14:textId="77777777" w:rsidR="00A50FCF" w:rsidRPr="0090270B" w:rsidRDefault="00A50FCF" w:rsidP="00040C3A">
      <w:pPr>
        <w:tabs>
          <w:tab w:val="center" w:pos="5400"/>
        </w:tabs>
        <w:suppressAutoHyphens/>
        <w:jc w:val="center"/>
        <w:rPr>
          <w:sz w:val="18"/>
          <w:szCs w:val="22"/>
          <w:lang w:val="es-ES_tradnl"/>
        </w:rPr>
      </w:pPr>
    </w:p>
    <w:p w14:paraId="4B65CEBD" w14:textId="77777777" w:rsidR="00A50FCF" w:rsidRPr="0090270B" w:rsidRDefault="00A50FCF" w:rsidP="00040C3A">
      <w:pPr>
        <w:tabs>
          <w:tab w:val="center" w:pos="5400"/>
        </w:tabs>
        <w:suppressAutoHyphens/>
        <w:jc w:val="center"/>
        <w:rPr>
          <w:sz w:val="18"/>
          <w:szCs w:val="22"/>
          <w:lang w:val="es-ES_tradnl"/>
        </w:rPr>
      </w:pPr>
    </w:p>
    <w:p w14:paraId="1BB8F89C" w14:textId="77777777" w:rsidR="00A50FCF" w:rsidRPr="0090270B" w:rsidRDefault="00A50FCF" w:rsidP="00040C3A">
      <w:pPr>
        <w:tabs>
          <w:tab w:val="center" w:pos="5400"/>
        </w:tabs>
        <w:suppressAutoHyphens/>
        <w:jc w:val="center"/>
        <w:rPr>
          <w:sz w:val="18"/>
          <w:szCs w:val="22"/>
          <w:lang w:val="es-ES_tradnl"/>
        </w:rPr>
      </w:pPr>
    </w:p>
    <w:p w14:paraId="22264B3F" w14:textId="77777777" w:rsidR="00A50FCF" w:rsidRPr="0090270B" w:rsidRDefault="0090270B" w:rsidP="00040C3A">
      <w:pPr>
        <w:tabs>
          <w:tab w:val="center" w:pos="5400"/>
        </w:tabs>
        <w:suppressAutoHyphens/>
        <w:jc w:val="center"/>
        <w:rPr>
          <w:sz w:val="18"/>
          <w:szCs w:val="22"/>
          <w:lang w:val="es-ES_tradnl"/>
        </w:rPr>
      </w:pPr>
      <w:r w:rsidRPr="0090270B">
        <w:rPr>
          <w:noProof/>
          <w:sz w:val="18"/>
          <w:szCs w:val="22"/>
          <w:lang w:val="en-US" w:eastAsia="en-US"/>
        </w:rPr>
        <mc:AlternateContent>
          <mc:Choice Requires="wps">
            <w:drawing>
              <wp:anchor distT="0" distB="0" distL="114300" distR="114300" simplePos="0" relativeHeight="251678720" behindDoc="0" locked="0" layoutInCell="1" allowOverlap="1" wp14:anchorId="431A2C4F" wp14:editId="5E22B47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6BD0E" w14:textId="77777777" w:rsidR="00F5327F" w:rsidRPr="007C756A" w:rsidRDefault="00F5327F" w:rsidP="00113F73">
                            <w:pPr>
                              <w:spacing w:line="276" w:lineRule="auto"/>
                              <w:rPr>
                                <w:color w:val="595959" w:themeColor="text1" w:themeTint="A6"/>
                                <w:sz w:val="18"/>
                                <w:szCs w:val="18"/>
                                <w:lang w:val="es-US"/>
                              </w:rPr>
                            </w:pPr>
                            <w:r w:rsidRPr="0022273F">
                              <w:rPr>
                                <w:b/>
                                <w:color w:val="595959" w:themeColor="text1" w:themeTint="A6"/>
                                <w:sz w:val="18"/>
                                <w:szCs w:val="18"/>
                                <w:lang w:val="pt-BR"/>
                              </w:rPr>
                              <w:t>Citar como:</w:t>
                            </w:r>
                            <w:r w:rsidRPr="0022273F">
                              <w:rPr>
                                <w:color w:val="595959" w:themeColor="text1" w:themeTint="A6"/>
                                <w:sz w:val="18"/>
                                <w:szCs w:val="18"/>
                                <w:lang w:val="pt-BR"/>
                              </w:rPr>
                              <w:t xml:space="preserve"> CIDH. Informe No. </w:t>
                            </w:r>
                            <w:r>
                              <w:rPr>
                                <w:color w:val="595959" w:themeColor="text1" w:themeTint="A6"/>
                                <w:sz w:val="18"/>
                                <w:szCs w:val="18"/>
                                <w:lang w:val="pt-BR"/>
                              </w:rPr>
                              <w:t>12</w:t>
                            </w:r>
                            <w:r w:rsidRPr="0022273F">
                              <w:rPr>
                                <w:color w:val="595959" w:themeColor="text1" w:themeTint="A6"/>
                                <w:sz w:val="18"/>
                                <w:szCs w:val="18"/>
                                <w:lang w:val="pt-BR"/>
                              </w:rPr>
                              <w:t>/</w:t>
                            </w:r>
                            <w:r>
                              <w:rPr>
                                <w:color w:val="595959" w:themeColor="text1" w:themeTint="A6"/>
                                <w:sz w:val="18"/>
                                <w:szCs w:val="18"/>
                                <w:lang w:val="pt-BR"/>
                              </w:rPr>
                              <w:t>19</w:t>
                            </w:r>
                            <w:r w:rsidRPr="0022273F">
                              <w:rPr>
                                <w:color w:val="595959" w:themeColor="text1" w:themeTint="A6"/>
                                <w:sz w:val="18"/>
                                <w:szCs w:val="18"/>
                                <w:lang w:val="pt-BR"/>
                              </w:rPr>
                              <w:t xml:space="preserve">. </w:t>
                            </w:r>
                            <w:r>
                              <w:rPr>
                                <w:color w:val="595959" w:themeColor="text1" w:themeTint="A6"/>
                                <w:sz w:val="18"/>
                                <w:szCs w:val="18"/>
                                <w:lang w:val="es-ES_tradnl"/>
                              </w:rPr>
                              <w:t>Caso 12.903. Fondo</w:t>
                            </w:r>
                            <w:r w:rsidRPr="00890650">
                              <w:rPr>
                                <w:color w:val="595959" w:themeColor="text1" w:themeTint="A6"/>
                                <w:sz w:val="18"/>
                                <w:szCs w:val="18"/>
                                <w:lang w:val="es-ES_tradnl"/>
                              </w:rPr>
                              <w:t xml:space="preserve">. </w:t>
                            </w:r>
                            <w:r>
                              <w:rPr>
                                <w:color w:val="595959" w:themeColor="text1" w:themeTint="A6"/>
                                <w:sz w:val="18"/>
                                <w:szCs w:val="18"/>
                                <w:lang w:val="es-ES_tradnl"/>
                              </w:rPr>
                              <w:t>Profesores de Chañaral. Chile</w:t>
                            </w:r>
                            <w:r w:rsidRPr="00890650">
                              <w:rPr>
                                <w:color w:val="595959" w:themeColor="text1" w:themeTint="A6"/>
                                <w:sz w:val="18"/>
                                <w:szCs w:val="18"/>
                                <w:lang w:val="es-ES_tradnl"/>
                              </w:rPr>
                              <w:t xml:space="preserve">. </w:t>
                            </w:r>
                            <w:r>
                              <w:rPr>
                                <w:color w:val="595959" w:themeColor="text1" w:themeTint="A6"/>
                                <w:sz w:val="18"/>
                                <w:szCs w:val="18"/>
                                <w:lang w:val="es-ES_tradnl"/>
                              </w:rPr>
                              <w:t>12 de febrero de 2019</w:t>
                            </w:r>
                            <w:r w:rsidRPr="007C756A">
                              <w:rPr>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A27F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5327F" w:rsidRPr="007C756A" w:rsidRDefault="00F5327F" w:rsidP="00113F73">
                      <w:pPr>
                        <w:spacing w:line="276" w:lineRule="auto"/>
                        <w:rPr>
                          <w:color w:val="595959" w:themeColor="text1" w:themeTint="A6"/>
                          <w:sz w:val="18"/>
                          <w:szCs w:val="18"/>
                          <w:lang w:val="es-US"/>
                        </w:rPr>
                      </w:pPr>
                      <w:r w:rsidRPr="0022273F">
                        <w:rPr>
                          <w:b/>
                          <w:color w:val="595959" w:themeColor="text1" w:themeTint="A6"/>
                          <w:sz w:val="18"/>
                          <w:szCs w:val="18"/>
                          <w:lang w:val="pt-BR"/>
                        </w:rPr>
                        <w:t>Citar como:</w:t>
                      </w:r>
                      <w:r w:rsidRPr="0022273F">
                        <w:rPr>
                          <w:color w:val="595959" w:themeColor="text1" w:themeTint="A6"/>
                          <w:sz w:val="18"/>
                          <w:szCs w:val="18"/>
                          <w:lang w:val="pt-BR"/>
                        </w:rPr>
                        <w:t xml:space="preserve"> CIDH. Informe No. </w:t>
                      </w:r>
                      <w:r>
                        <w:rPr>
                          <w:color w:val="595959" w:themeColor="text1" w:themeTint="A6"/>
                          <w:sz w:val="18"/>
                          <w:szCs w:val="18"/>
                          <w:lang w:val="pt-BR"/>
                        </w:rPr>
                        <w:t>12</w:t>
                      </w:r>
                      <w:r w:rsidRPr="0022273F">
                        <w:rPr>
                          <w:color w:val="595959" w:themeColor="text1" w:themeTint="A6"/>
                          <w:sz w:val="18"/>
                          <w:szCs w:val="18"/>
                          <w:lang w:val="pt-BR"/>
                        </w:rPr>
                        <w:t>/</w:t>
                      </w:r>
                      <w:r>
                        <w:rPr>
                          <w:color w:val="595959" w:themeColor="text1" w:themeTint="A6"/>
                          <w:sz w:val="18"/>
                          <w:szCs w:val="18"/>
                          <w:lang w:val="pt-BR"/>
                        </w:rPr>
                        <w:t>19</w:t>
                      </w:r>
                      <w:r w:rsidRPr="0022273F">
                        <w:rPr>
                          <w:color w:val="595959" w:themeColor="text1" w:themeTint="A6"/>
                          <w:sz w:val="18"/>
                          <w:szCs w:val="18"/>
                          <w:lang w:val="pt-BR"/>
                        </w:rPr>
                        <w:t xml:space="preserve">. </w:t>
                      </w:r>
                      <w:r>
                        <w:rPr>
                          <w:color w:val="595959" w:themeColor="text1" w:themeTint="A6"/>
                          <w:sz w:val="18"/>
                          <w:szCs w:val="18"/>
                          <w:lang w:val="es-ES_tradnl"/>
                        </w:rPr>
                        <w:t>Caso 12.903. Fondo</w:t>
                      </w:r>
                      <w:r w:rsidRPr="00890650">
                        <w:rPr>
                          <w:color w:val="595959" w:themeColor="text1" w:themeTint="A6"/>
                          <w:sz w:val="18"/>
                          <w:szCs w:val="18"/>
                          <w:lang w:val="es-ES_tradnl"/>
                        </w:rPr>
                        <w:t xml:space="preserve">. </w:t>
                      </w:r>
                      <w:r>
                        <w:rPr>
                          <w:color w:val="595959" w:themeColor="text1" w:themeTint="A6"/>
                          <w:sz w:val="18"/>
                          <w:szCs w:val="18"/>
                          <w:lang w:val="es-ES_tradnl"/>
                        </w:rPr>
                        <w:t>Profesores de Chañaral. Chile</w:t>
                      </w:r>
                      <w:r w:rsidRPr="00890650">
                        <w:rPr>
                          <w:color w:val="595959" w:themeColor="text1" w:themeTint="A6"/>
                          <w:sz w:val="18"/>
                          <w:szCs w:val="18"/>
                          <w:lang w:val="es-ES_tradnl"/>
                        </w:rPr>
                        <w:t xml:space="preserve">. </w:t>
                      </w:r>
                      <w:r>
                        <w:rPr>
                          <w:color w:val="595959" w:themeColor="text1" w:themeTint="A6"/>
                          <w:sz w:val="18"/>
                          <w:szCs w:val="18"/>
                          <w:lang w:val="es-ES_tradnl"/>
                        </w:rPr>
                        <w:t>12 de febrero de 2019</w:t>
                      </w:r>
                      <w:r w:rsidRPr="007C756A">
                        <w:rPr>
                          <w:color w:val="595959" w:themeColor="text1" w:themeTint="A6"/>
                          <w:sz w:val="18"/>
                          <w:szCs w:val="18"/>
                          <w:lang w:val="es-US"/>
                        </w:rPr>
                        <w:t>.</w:t>
                      </w:r>
                    </w:p>
                  </w:txbxContent>
                </v:textbox>
              </v:shape>
            </w:pict>
          </mc:Fallback>
        </mc:AlternateContent>
      </w:r>
    </w:p>
    <w:p w14:paraId="322169CF" w14:textId="77777777" w:rsidR="00A50FCF" w:rsidRPr="0090270B" w:rsidRDefault="00A50FCF" w:rsidP="00040C3A">
      <w:pPr>
        <w:tabs>
          <w:tab w:val="center" w:pos="5400"/>
        </w:tabs>
        <w:suppressAutoHyphens/>
        <w:jc w:val="center"/>
        <w:rPr>
          <w:sz w:val="18"/>
          <w:szCs w:val="22"/>
          <w:lang w:val="es-ES_tradnl"/>
        </w:rPr>
      </w:pPr>
    </w:p>
    <w:p w14:paraId="46E4ED56" w14:textId="77777777" w:rsidR="0090270B" w:rsidRDefault="00D306D1" w:rsidP="005516A1">
      <w:pPr>
        <w:tabs>
          <w:tab w:val="center" w:pos="5400"/>
        </w:tabs>
        <w:suppressAutoHyphens/>
        <w:jc w:val="center"/>
        <w:rPr>
          <w:b/>
          <w:sz w:val="20"/>
          <w:lang w:val="es-ES_tradnl"/>
        </w:rPr>
      </w:pPr>
      <w:r>
        <w:rPr>
          <w:noProof/>
          <w:sz w:val="18"/>
          <w:szCs w:val="22"/>
          <w:lang w:val="en-US" w:eastAsia="en-US"/>
        </w:rPr>
        <mc:AlternateContent>
          <mc:Choice Requires="wps">
            <w:drawing>
              <wp:anchor distT="0" distB="0" distL="114300" distR="114300" simplePos="0" relativeHeight="251680768" behindDoc="0" locked="0" layoutInCell="1" allowOverlap="1" wp14:anchorId="74713E32" wp14:editId="376BFAA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A82D6" w14:textId="77777777" w:rsidR="00F5327F" w:rsidRPr="00D72DC6" w:rsidRDefault="00F5327F"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7F2498C0" wp14:editId="3A04F5B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A29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F5327F" w:rsidRPr="00D72DC6" w:rsidRDefault="00F5327F"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1BF6652D" wp14:editId="5694381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noProof/>
          <w:sz w:val="22"/>
          <w:szCs w:val="22"/>
          <w:lang w:val="en-US" w:eastAsia="en-US"/>
        </w:rPr>
        <mc:AlternateContent>
          <mc:Choice Requires="wps">
            <w:drawing>
              <wp:anchor distT="0" distB="0" distL="114300" distR="114300" simplePos="0" relativeHeight="251682816" behindDoc="0" locked="0" layoutInCell="1" allowOverlap="1" wp14:anchorId="447AACB5" wp14:editId="31407AC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45AA1" w14:textId="77777777" w:rsidR="00F5327F" w:rsidRPr="004B7EB6" w:rsidRDefault="00F5327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E8C8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5327F" w:rsidRPr="004B7EB6" w:rsidRDefault="00F5327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771CC7D" w14:textId="77777777" w:rsidR="0070697F" w:rsidRDefault="0070697F" w:rsidP="005516A1">
      <w:pPr>
        <w:tabs>
          <w:tab w:val="center" w:pos="5400"/>
        </w:tabs>
        <w:suppressAutoHyphens/>
        <w:jc w:val="center"/>
        <w:rPr>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sdt>
      <w:sdtPr>
        <w:rPr>
          <w:rFonts w:eastAsia="Arial Unicode MS" w:cs="Calibri"/>
          <w:color w:val="000000"/>
          <w:sz w:val="16"/>
          <w:szCs w:val="16"/>
          <w:bdr w:val="nil"/>
          <w:lang w:val="es-ES" w:eastAsia="es-ES"/>
        </w:rPr>
        <w:id w:val="551118162"/>
        <w:docPartObj>
          <w:docPartGallery w:val="Table of Contents"/>
          <w:docPartUnique/>
        </w:docPartObj>
      </w:sdtPr>
      <w:sdtEndPr>
        <w:rPr>
          <w:b/>
          <w:bCs/>
          <w:noProof/>
        </w:rPr>
      </w:sdtEndPr>
      <w:sdtContent>
        <w:p w14:paraId="43BEC5DB" w14:textId="77777777" w:rsidR="00C1597E" w:rsidRDefault="00C1597E">
          <w:pPr>
            <w:pStyle w:val="TOCHeading"/>
          </w:pPr>
        </w:p>
        <w:p w14:paraId="08B9325C" w14:textId="182C30E2" w:rsidR="00C1597E" w:rsidRPr="00C1597E" w:rsidRDefault="00C1597E">
          <w:pPr>
            <w:pStyle w:val="TOC1"/>
            <w:tabs>
              <w:tab w:val="left" w:pos="1440"/>
              <w:tab w:val="right" w:leader="dot" w:pos="9350"/>
            </w:tabs>
            <w:rPr>
              <w:rFonts w:asciiTheme="majorHAnsi" w:eastAsiaTheme="minorEastAsia" w:hAnsiTheme="majorHAnsi" w:cstheme="minorBidi"/>
              <w:noProof/>
              <w:color w:val="auto"/>
              <w:sz w:val="20"/>
              <w:szCs w:val="20"/>
              <w:bdr w:val="none" w:sz="0" w:space="0" w:color="auto"/>
              <w:lang w:val="en-US" w:eastAsia="en-US"/>
            </w:rPr>
          </w:pPr>
          <w:r>
            <w:fldChar w:fldCharType="begin"/>
          </w:r>
          <w:r>
            <w:instrText xml:space="preserve"> TOC \o "1-3" \h \z \u </w:instrText>
          </w:r>
          <w:r>
            <w:fldChar w:fldCharType="separate"/>
          </w:r>
          <w:hyperlink w:anchor="_Toc5020333" w:history="1">
            <w:r w:rsidRPr="00C1597E">
              <w:rPr>
                <w:rStyle w:val="Hyperlink"/>
                <w:rFonts w:asciiTheme="majorHAnsi" w:hAnsiTheme="majorHAnsi"/>
                <w:b/>
                <w:noProof/>
                <w:sz w:val="20"/>
                <w:szCs w:val="20"/>
              </w:rPr>
              <w:t>I.</w:t>
            </w:r>
            <w:r w:rsidRPr="00C1597E">
              <w:rPr>
                <w:rFonts w:asciiTheme="majorHAnsi" w:eastAsiaTheme="minorEastAsia" w:hAnsiTheme="majorHAnsi" w:cstheme="minorBidi"/>
                <w:b/>
                <w:noProof/>
                <w:color w:val="auto"/>
                <w:sz w:val="20"/>
                <w:szCs w:val="20"/>
                <w:bdr w:val="none" w:sz="0" w:space="0" w:color="auto"/>
                <w:lang w:val="en-US" w:eastAsia="en-US"/>
              </w:rPr>
              <w:tab/>
            </w:r>
            <w:r w:rsidRPr="00C1597E">
              <w:rPr>
                <w:rStyle w:val="Hyperlink"/>
                <w:rFonts w:asciiTheme="majorHAnsi" w:hAnsiTheme="majorHAnsi"/>
                <w:b/>
                <w:noProof/>
                <w:sz w:val="20"/>
                <w:szCs w:val="20"/>
              </w:rPr>
              <w:t>INTRODUCCIÓN</w:t>
            </w:r>
            <w:r w:rsidRPr="00C1597E">
              <w:rPr>
                <w:rFonts w:asciiTheme="majorHAnsi" w:hAnsiTheme="majorHAnsi"/>
                <w:noProof/>
                <w:webHidden/>
                <w:sz w:val="20"/>
                <w:szCs w:val="20"/>
              </w:rPr>
              <w:tab/>
            </w:r>
            <w:r w:rsidRPr="00C1597E">
              <w:rPr>
                <w:rFonts w:asciiTheme="majorHAnsi" w:hAnsiTheme="majorHAnsi"/>
                <w:noProof/>
                <w:webHidden/>
                <w:sz w:val="20"/>
                <w:szCs w:val="20"/>
              </w:rPr>
              <w:fldChar w:fldCharType="begin"/>
            </w:r>
            <w:r w:rsidRPr="00C1597E">
              <w:rPr>
                <w:rFonts w:asciiTheme="majorHAnsi" w:hAnsiTheme="majorHAnsi"/>
                <w:noProof/>
                <w:webHidden/>
                <w:sz w:val="20"/>
                <w:szCs w:val="20"/>
              </w:rPr>
              <w:instrText xml:space="preserve"> PAGEREF _Toc5020333 \h </w:instrText>
            </w:r>
            <w:r w:rsidRPr="00C1597E">
              <w:rPr>
                <w:rFonts w:asciiTheme="majorHAnsi" w:hAnsiTheme="majorHAnsi"/>
                <w:noProof/>
                <w:webHidden/>
                <w:sz w:val="20"/>
                <w:szCs w:val="20"/>
              </w:rPr>
            </w:r>
            <w:r w:rsidRPr="00C1597E">
              <w:rPr>
                <w:rFonts w:asciiTheme="majorHAnsi" w:hAnsiTheme="majorHAnsi"/>
                <w:noProof/>
                <w:webHidden/>
                <w:sz w:val="20"/>
                <w:szCs w:val="20"/>
              </w:rPr>
              <w:fldChar w:fldCharType="separate"/>
            </w:r>
            <w:r w:rsidR="00BE5D8B">
              <w:rPr>
                <w:rFonts w:asciiTheme="majorHAnsi" w:hAnsiTheme="majorHAnsi"/>
                <w:noProof/>
                <w:webHidden/>
                <w:sz w:val="20"/>
                <w:szCs w:val="20"/>
              </w:rPr>
              <w:t>2</w:t>
            </w:r>
            <w:r w:rsidRPr="00C1597E">
              <w:rPr>
                <w:rFonts w:asciiTheme="majorHAnsi" w:hAnsiTheme="majorHAnsi"/>
                <w:noProof/>
                <w:webHidden/>
                <w:sz w:val="20"/>
                <w:szCs w:val="20"/>
              </w:rPr>
              <w:fldChar w:fldCharType="end"/>
            </w:r>
          </w:hyperlink>
        </w:p>
        <w:p w14:paraId="43CDB80E" w14:textId="5C8D2759" w:rsidR="00C1597E" w:rsidRPr="00C1597E" w:rsidRDefault="00CE0A45">
          <w:pPr>
            <w:pStyle w:val="TOC1"/>
            <w:tabs>
              <w:tab w:val="left" w:pos="1440"/>
              <w:tab w:val="right" w:leader="dot" w:pos="9350"/>
            </w:tabs>
            <w:rPr>
              <w:rFonts w:asciiTheme="majorHAnsi" w:eastAsiaTheme="minorEastAsia" w:hAnsiTheme="majorHAnsi" w:cstheme="minorBidi"/>
              <w:noProof/>
              <w:color w:val="auto"/>
              <w:sz w:val="20"/>
              <w:szCs w:val="20"/>
              <w:bdr w:val="none" w:sz="0" w:space="0" w:color="auto"/>
              <w:lang w:val="en-US" w:eastAsia="en-US"/>
            </w:rPr>
          </w:pPr>
          <w:hyperlink w:anchor="_Toc5020334" w:history="1">
            <w:r w:rsidR="00C1597E" w:rsidRPr="00C1597E">
              <w:rPr>
                <w:rStyle w:val="Hyperlink"/>
                <w:rFonts w:asciiTheme="majorHAnsi" w:hAnsiTheme="majorHAnsi"/>
                <w:b/>
                <w:noProof/>
                <w:sz w:val="20"/>
                <w:szCs w:val="20"/>
              </w:rPr>
              <w:t>II.</w:t>
            </w:r>
            <w:r w:rsidR="00C1597E" w:rsidRPr="00C1597E">
              <w:rPr>
                <w:rFonts w:asciiTheme="majorHAnsi" w:eastAsiaTheme="minorEastAsia" w:hAnsiTheme="majorHAnsi" w:cstheme="minorBidi"/>
                <w:b/>
                <w:noProof/>
                <w:color w:val="auto"/>
                <w:sz w:val="20"/>
                <w:szCs w:val="20"/>
                <w:bdr w:val="none" w:sz="0" w:space="0" w:color="auto"/>
                <w:lang w:val="en-US" w:eastAsia="en-US"/>
              </w:rPr>
              <w:tab/>
            </w:r>
            <w:r w:rsidR="00C1597E" w:rsidRPr="00C1597E">
              <w:rPr>
                <w:rStyle w:val="Hyperlink"/>
                <w:rFonts w:asciiTheme="majorHAnsi" w:hAnsiTheme="majorHAnsi"/>
                <w:b/>
                <w:noProof/>
                <w:sz w:val="20"/>
                <w:szCs w:val="20"/>
              </w:rPr>
              <w:t>POSICIONES DE LAS PARTES</w:t>
            </w:r>
            <w:r w:rsidR="00C1597E" w:rsidRPr="00C1597E">
              <w:rPr>
                <w:rFonts w:asciiTheme="majorHAnsi" w:hAnsiTheme="majorHAnsi"/>
                <w:noProof/>
                <w:webHidden/>
                <w:sz w:val="20"/>
                <w:szCs w:val="20"/>
              </w:rPr>
              <w:tab/>
            </w:r>
            <w:r w:rsidR="00C1597E" w:rsidRPr="00C1597E">
              <w:rPr>
                <w:rFonts w:asciiTheme="majorHAnsi" w:hAnsiTheme="majorHAnsi"/>
                <w:noProof/>
                <w:webHidden/>
                <w:sz w:val="20"/>
                <w:szCs w:val="20"/>
              </w:rPr>
              <w:fldChar w:fldCharType="begin"/>
            </w:r>
            <w:r w:rsidR="00C1597E" w:rsidRPr="00C1597E">
              <w:rPr>
                <w:rFonts w:asciiTheme="majorHAnsi" w:hAnsiTheme="majorHAnsi"/>
                <w:noProof/>
                <w:webHidden/>
                <w:sz w:val="20"/>
                <w:szCs w:val="20"/>
              </w:rPr>
              <w:instrText xml:space="preserve"> PAGEREF _Toc5020334 \h </w:instrText>
            </w:r>
            <w:r w:rsidR="00C1597E" w:rsidRPr="00C1597E">
              <w:rPr>
                <w:rFonts w:asciiTheme="majorHAnsi" w:hAnsiTheme="majorHAnsi"/>
                <w:noProof/>
                <w:webHidden/>
                <w:sz w:val="20"/>
                <w:szCs w:val="20"/>
              </w:rPr>
            </w:r>
            <w:r w:rsidR="00C1597E" w:rsidRPr="00C1597E">
              <w:rPr>
                <w:rFonts w:asciiTheme="majorHAnsi" w:hAnsiTheme="majorHAnsi"/>
                <w:noProof/>
                <w:webHidden/>
                <w:sz w:val="20"/>
                <w:szCs w:val="20"/>
              </w:rPr>
              <w:fldChar w:fldCharType="separate"/>
            </w:r>
            <w:r w:rsidR="00BE5D8B">
              <w:rPr>
                <w:rFonts w:asciiTheme="majorHAnsi" w:hAnsiTheme="majorHAnsi"/>
                <w:noProof/>
                <w:webHidden/>
                <w:sz w:val="20"/>
                <w:szCs w:val="20"/>
              </w:rPr>
              <w:t>2</w:t>
            </w:r>
            <w:r w:rsidR="00C1597E" w:rsidRPr="00C1597E">
              <w:rPr>
                <w:rFonts w:asciiTheme="majorHAnsi" w:hAnsiTheme="majorHAnsi"/>
                <w:noProof/>
                <w:webHidden/>
                <w:sz w:val="20"/>
                <w:szCs w:val="20"/>
              </w:rPr>
              <w:fldChar w:fldCharType="end"/>
            </w:r>
          </w:hyperlink>
        </w:p>
        <w:p w14:paraId="461AD99C" w14:textId="529CFE67" w:rsidR="00C1597E" w:rsidRPr="00C1597E" w:rsidRDefault="00CE0A45">
          <w:pPr>
            <w:pStyle w:val="TOC2"/>
            <w:rPr>
              <w:rFonts w:eastAsiaTheme="minorEastAsia" w:cstheme="minorBidi"/>
              <w:noProof/>
              <w:color w:val="auto"/>
              <w:sz w:val="20"/>
              <w:szCs w:val="20"/>
              <w:bdr w:val="none" w:sz="0" w:space="0" w:color="auto"/>
              <w:lang w:val="en-US" w:eastAsia="en-US"/>
            </w:rPr>
          </w:pPr>
          <w:hyperlink w:anchor="_Toc5020335" w:history="1">
            <w:r w:rsidR="00C1597E" w:rsidRPr="00C1597E">
              <w:rPr>
                <w:rStyle w:val="Hyperlink"/>
                <w:rFonts w:eastAsia="Times New Roman" w:cs="Times New Roman"/>
                <w:noProof/>
                <w:sz w:val="20"/>
                <w:szCs w:val="20"/>
                <w:lang w:eastAsia="en-US"/>
              </w:rPr>
              <w:t>A.</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rFonts w:eastAsia="Times New Roman" w:cs="Times New Roman"/>
                <w:noProof/>
                <w:sz w:val="20"/>
                <w:szCs w:val="20"/>
                <w:lang w:eastAsia="en-US"/>
              </w:rPr>
              <w:t>Parte peticionaria</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_Toc5020335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2</w:t>
            </w:r>
            <w:r w:rsidR="00C1597E" w:rsidRPr="00C1597E">
              <w:rPr>
                <w:noProof/>
                <w:webHidden/>
                <w:sz w:val="20"/>
                <w:szCs w:val="20"/>
              </w:rPr>
              <w:fldChar w:fldCharType="end"/>
            </w:r>
          </w:hyperlink>
        </w:p>
        <w:p w14:paraId="0F1B1E6D" w14:textId="6F07FC9E" w:rsidR="00C1597E" w:rsidRPr="00C1597E" w:rsidRDefault="00CE0A45">
          <w:pPr>
            <w:pStyle w:val="TOC2"/>
            <w:rPr>
              <w:rFonts w:eastAsiaTheme="minorEastAsia" w:cstheme="minorBidi"/>
              <w:noProof/>
              <w:color w:val="auto"/>
              <w:sz w:val="20"/>
              <w:szCs w:val="20"/>
              <w:bdr w:val="none" w:sz="0" w:space="0" w:color="auto"/>
              <w:lang w:val="en-US" w:eastAsia="en-US"/>
            </w:rPr>
          </w:pPr>
          <w:hyperlink w:anchor="_Toc5020336" w:history="1">
            <w:r w:rsidR="00C1597E" w:rsidRPr="00C1597E">
              <w:rPr>
                <w:rStyle w:val="Hyperlink"/>
                <w:rFonts w:eastAsia="Times New Roman" w:cs="Times New Roman"/>
                <w:noProof/>
                <w:sz w:val="20"/>
                <w:szCs w:val="20"/>
                <w:lang w:eastAsia="en-US"/>
              </w:rPr>
              <w:t>B.</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rFonts w:eastAsia="Times New Roman" w:cs="Times New Roman"/>
                <w:noProof/>
                <w:sz w:val="20"/>
                <w:szCs w:val="20"/>
                <w:lang w:eastAsia="en-US"/>
              </w:rPr>
              <w:t>Estado</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_Toc5020336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3</w:t>
            </w:r>
            <w:r w:rsidR="00C1597E" w:rsidRPr="00C1597E">
              <w:rPr>
                <w:noProof/>
                <w:webHidden/>
                <w:sz w:val="20"/>
                <w:szCs w:val="20"/>
              </w:rPr>
              <w:fldChar w:fldCharType="end"/>
            </w:r>
          </w:hyperlink>
        </w:p>
        <w:p w14:paraId="1E6AEC87" w14:textId="7F759AB0" w:rsidR="00C1597E" w:rsidRPr="00C1597E" w:rsidRDefault="00CE0A45">
          <w:pPr>
            <w:pStyle w:val="TOC1"/>
            <w:tabs>
              <w:tab w:val="left" w:pos="1440"/>
              <w:tab w:val="right" w:leader="dot" w:pos="9350"/>
            </w:tabs>
            <w:rPr>
              <w:rFonts w:asciiTheme="majorHAnsi" w:eastAsiaTheme="minorEastAsia" w:hAnsiTheme="majorHAnsi" w:cstheme="minorBidi"/>
              <w:noProof/>
              <w:color w:val="auto"/>
              <w:sz w:val="20"/>
              <w:szCs w:val="20"/>
              <w:bdr w:val="none" w:sz="0" w:space="0" w:color="auto"/>
              <w:lang w:val="en-US" w:eastAsia="en-US"/>
            </w:rPr>
          </w:pPr>
          <w:hyperlink w:anchor="_Toc5020337" w:history="1">
            <w:r w:rsidR="00C1597E" w:rsidRPr="00C1597E">
              <w:rPr>
                <w:rStyle w:val="Hyperlink"/>
                <w:rFonts w:asciiTheme="majorHAnsi" w:hAnsiTheme="majorHAnsi"/>
                <w:b/>
                <w:noProof/>
                <w:sz w:val="20"/>
                <w:szCs w:val="20"/>
              </w:rPr>
              <w:t>III.</w:t>
            </w:r>
            <w:r w:rsidR="00C1597E" w:rsidRPr="00C1597E">
              <w:rPr>
                <w:rFonts w:asciiTheme="majorHAnsi" w:eastAsiaTheme="minorEastAsia" w:hAnsiTheme="majorHAnsi" w:cstheme="minorBidi"/>
                <w:b/>
                <w:noProof/>
                <w:color w:val="auto"/>
                <w:sz w:val="20"/>
                <w:szCs w:val="20"/>
                <w:bdr w:val="none" w:sz="0" w:space="0" w:color="auto"/>
                <w:lang w:val="en-US" w:eastAsia="en-US"/>
              </w:rPr>
              <w:tab/>
            </w:r>
            <w:r w:rsidR="00C1597E" w:rsidRPr="00C1597E">
              <w:rPr>
                <w:rStyle w:val="Hyperlink"/>
                <w:rFonts w:asciiTheme="majorHAnsi" w:hAnsiTheme="majorHAnsi"/>
                <w:b/>
                <w:noProof/>
                <w:sz w:val="20"/>
                <w:szCs w:val="20"/>
              </w:rPr>
              <w:t>DETERMINACIONES DE HECHO</w:t>
            </w:r>
            <w:r w:rsidR="00C1597E" w:rsidRPr="00C1597E">
              <w:rPr>
                <w:rFonts w:asciiTheme="majorHAnsi" w:hAnsiTheme="majorHAnsi"/>
                <w:noProof/>
                <w:webHidden/>
                <w:sz w:val="20"/>
                <w:szCs w:val="20"/>
              </w:rPr>
              <w:tab/>
            </w:r>
            <w:r w:rsidR="00C1597E" w:rsidRPr="00C1597E">
              <w:rPr>
                <w:rFonts w:asciiTheme="majorHAnsi" w:hAnsiTheme="majorHAnsi"/>
                <w:noProof/>
                <w:webHidden/>
                <w:sz w:val="20"/>
                <w:szCs w:val="20"/>
              </w:rPr>
              <w:fldChar w:fldCharType="begin"/>
            </w:r>
            <w:r w:rsidR="00C1597E" w:rsidRPr="00C1597E">
              <w:rPr>
                <w:rFonts w:asciiTheme="majorHAnsi" w:hAnsiTheme="majorHAnsi"/>
                <w:noProof/>
                <w:webHidden/>
                <w:sz w:val="20"/>
                <w:szCs w:val="20"/>
              </w:rPr>
              <w:instrText xml:space="preserve"> PAGEREF _Toc5020337 \h </w:instrText>
            </w:r>
            <w:r w:rsidR="00C1597E" w:rsidRPr="00C1597E">
              <w:rPr>
                <w:rFonts w:asciiTheme="majorHAnsi" w:hAnsiTheme="majorHAnsi"/>
                <w:noProof/>
                <w:webHidden/>
                <w:sz w:val="20"/>
                <w:szCs w:val="20"/>
              </w:rPr>
            </w:r>
            <w:r w:rsidR="00C1597E" w:rsidRPr="00C1597E">
              <w:rPr>
                <w:rFonts w:asciiTheme="majorHAnsi" w:hAnsiTheme="majorHAnsi"/>
                <w:noProof/>
                <w:webHidden/>
                <w:sz w:val="20"/>
                <w:szCs w:val="20"/>
              </w:rPr>
              <w:fldChar w:fldCharType="separate"/>
            </w:r>
            <w:r w:rsidR="00BE5D8B">
              <w:rPr>
                <w:rFonts w:asciiTheme="majorHAnsi" w:hAnsiTheme="majorHAnsi"/>
                <w:noProof/>
                <w:webHidden/>
                <w:sz w:val="20"/>
                <w:szCs w:val="20"/>
              </w:rPr>
              <w:t>5</w:t>
            </w:r>
            <w:r w:rsidR="00C1597E" w:rsidRPr="00C1597E">
              <w:rPr>
                <w:rFonts w:asciiTheme="majorHAnsi" w:hAnsiTheme="majorHAnsi"/>
                <w:noProof/>
                <w:webHidden/>
                <w:sz w:val="20"/>
                <w:szCs w:val="20"/>
              </w:rPr>
              <w:fldChar w:fldCharType="end"/>
            </w:r>
          </w:hyperlink>
        </w:p>
        <w:p w14:paraId="0700C1FA" w14:textId="1DA215A7" w:rsidR="00C1597E" w:rsidRPr="00C1597E" w:rsidRDefault="00CE0A45">
          <w:pPr>
            <w:pStyle w:val="TOC2"/>
            <w:rPr>
              <w:rFonts w:eastAsiaTheme="minorEastAsia" w:cstheme="minorBidi"/>
              <w:noProof/>
              <w:color w:val="auto"/>
              <w:sz w:val="20"/>
              <w:szCs w:val="20"/>
              <w:bdr w:val="none" w:sz="0" w:space="0" w:color="auto"/>
              <w:lang w:val="en-US" w:eastAsia="en-US"/>
            </w:rPr>
          </w:pPr>
          <w:hyperlink w:anchor="_Toc5020338" w:history="1">
            <w:r w:rsidR="00C1597E" w:rsidRPr="00C1597E">
              <w:rPr>
                <w:rStyle w:val="Hyperlink"/>
                <w:noProof/>
                <w:sz w:val="20"/>
                <w:szCs w:val="20"/>
              </w:rPr>
              <w:t>A.</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rPr>
              <w:t>Contexto de la “deuda histórica” con los profesores chilenos</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_Toc5020338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5</w:t>
            </w:r>
            <w:r w:rsidR="00C1597E" w:rsidRPr="00C1597E">
              <w:rPr>
                <w:noProof/>
                <w:webHidden/>
                <w:sz w:val="20"/>
                <w:szCs w:val="20"/>
              </w:rPr>
              <w:fldChar w:fldCharType="end"/>
            </w:r>
          </w:hyperlink>
        </w:p>
        <w:p w14:paraId="431E3982" w14:textId="2A2F0BBA" w:rsidR="00C1597E" w:rsidRPr="00C1597E" w:rsidRDefault="00CE0A45">
          <w:pPr>
            <w:pStyle w:val="TOC2"/>
            <w:rPr>
              <w:rFonts w:eastAsiaTheme="minorEastAsia" w:cstheme="minorBidi"/>
              <w:noProof/>
              <w:color w:val="auto"/>
              <w:sz w:val="20"/>
              <w:szCs w:val="20"/>
              <w:bdr w:val="none" w:sz="0" w:space="0" w:color="auto"/>
              <w:lang w:val="en-US" w:eastAsia="en-US"/>
            </w:rPr>
          </w:pPr>
          <w:hyperlink w:anchor="_Toc5020339" w:history="1">
            <w:r w:rsidR="00C1597E" w:rsidRPr="00C1597E">
              <w:rPr>
                <w:rStyle w:val="Hyperlink"/>
                <w:noProof/>
                <w:sz w:val="20"/>
                <w:szCs w:val="20"/>
              </w:rPr>
              <w:t>B.</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rPr>
              <w:t>Procesos internos</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_Toc5020339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6</w:t>
            </w:r>
            <w:r w:rsidR="00C1597E" w:rsidRPr="00C1597E">
              <w:rPr>
                <w:noProof/>
                <w:webHidden/>
                <w:sz w:val="20"/>
                <w:szCs w:val="20"/>
              </w:rPr>
              <w:fldChar w:fldCharType="end"/>
            </w:r>
          </w:hyperlink>
        </w:p>
        <w:p w14:paraId="79911813" w14:textId="1183BBCE" w:rsidR="00C1597E" w:rsidRPr="00C1597E" w:rsidRDefault="00CE0A45">
          <w:pPr>
            <w:pStyle w:val="TOC3"/>
            <w:tabs>
              <w:tab w:val="left" w:pos="2160"/>
            </w:tabs>
            <w:rPr>
              <w:rFonts w:eastAsiaTheme="minorEastAsia" w:cstheme="minorBidi"/>
              <w:noProof/>
              <w:color w:val="auto"/>
              <w:sz w:val="20"/>
              <w:szCs w:val="20"/>
              <w:bdr w:val="none" w:sz="0" w:space="0" w:color="auto"/>
              <w:lang w:val="en-US" w:eastAsia="en-US"/>
            </w:rPr>
          </w:pPr>
          <w:hyperlink w:anchor="_Toc5020340" w:history="1">
            <w:r w:rsidR="00C1597E" w:rsidRPr="00C1597E">
              <w:rPr>
                <w:rStyle w:val="Hyperlink"/>
                <w:noProof/>
                <w:sz w:val="20"/>
                <w:szCs w:val="20"/>
                <w:lang w:val="es-AR"/>
              </w:rPr>
              <w:t>1.</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lang w:val="es-ES_tradnl"/>
              </w:rPr>
              <w:t>Proceso respecto de Chañaral</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_Toc5020340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7</w:t>
            </w:r>
            <w:r w:rsidR="00C1597E" w:rsidRPr="00C1597E">
              <w:rPr>
                <w:noProof/>
                <w:webHidden/>
                <w:sz w:val="20"/>
                <w:szCs w:val="20"/>
              </w:rPr>
              <w:fldChar w:fldCharType="end"/>
            </w:r>
          </w:hyperlink>
        </w:p>
        <w:p w14:paraId="4E5587AA" w14:textId="79859B2D" w:rsidR="00C1597E" w:rsidRPr="00C1597E" w:rsidRDefault="00CE0A45">
          <w:pPr>
            <w:pStyle w:val="TOC3"/>
            <w:tabs>
              <w:tab w:val="left" w:pos="2160"/>
            </w:tabs>
            <w:rPr>
              <w:rFonts w:eastAsiaTheme="minorEastAsia" w:cstheme="minorBidi"/>
              <w:noProof/>
              <w:color w:val="auto"/>
              <w:sz w:val="20"/>
              <w:szCs w:val="20"/>
              <w:bdr w:val="none" w:sz="0" w:space="0" w:color="auto"/>
              <w:lang w:val="en-US" w:eastAsia="en-US"/>
            </w:rPr>
          </w:pPr>
          <w:hyperlink w:anchor="_Toc5020341" w:history="1">
            <w:r w:rsidR="00C1597E" w:rsidRPr="00C1597E">
              <w:rPr>
                <w:rStyle w:val="Hyperlink"/>
                <w:noProof/>
                <w:sz w:val="20"/>
                <w:szCs w:val="20"/>
                <w:lang w:val="es-AR"/>
              </w:rPr>
              <w:t>2.</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lang w:val="es-ES_tradnl"/>
              </w:rPr>
              <w:t>Acciones adelantadas a nivel interno para hacer cumplir las sentencias de las otras municipalidades</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_Toc5020341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8</w:t>
            </w:r>
            <w:r w:rsidR="00C1597E" w:rsidRPr="00C1597E">
              <w:rPr>
                <w:noProof/>
                <w:webHidden/>
                <w:sz w:val="20"/>
                <w:szCs w:val="20"/>
              </w:rPr>
              <w:fldChar w:fldCharType="end"/>
            </w:r>
          </w:hyperlink>
        </w:p>
        <w:p w14:paraId="42425ADA" w14:textId="13365C32" w:rsidR="00C1597E" w:rsidRPr="00C1597E" w:rsidRDefault="00CE0A45">
          <w:pPr>
            <w:pStyle w:val="TOC3"/>
            <w:tabs>
              <w:tab w:val="left" w:pos="2160"/>
            </w:tabs>
            <w:rPr>
              <w:rFonts w:eastAsiaTheme="minorEastAsia" w:cstheme="minorBidi"/>
              <w:noProof/>
              <w:color w:val="auto"/>
              <w:sz w:val="20"/>
              <w:szCs w:val="20"/>
              <w:bdr w:val="none" w:sz="0" w:space="0" w:color="auto"/>
              <w:lang w:val="en-US" w:eastAsia="en-US"/>
            </w:rPr>
          </w:pPr>
          <w:hyperlink w:anchor="_Toc5020342" w:history="1">
            <w:r w:rsidR="00C1597E" w:rsidRPr="00C1597E">
              <w:rPr>
                <w:rStyle w:val="Hyperlink"/>
                <w:noProof/>
                <w:sz w:val="20"/>
                <w:szCs w:val="20"/>
                <w:lang w:val="es-AR"/>
              </w:rPr>
              <w:t>3.</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lang w:val="es-ES_tradnl"/>
              </w:rPr>
              <w:t>Pagos parciales recibidos en los procesos de Chañaral y Vallenar</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_Toc5020342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10</w:t>
            </w:r>
            <w:r w:rsidR="00C1597E" w:rsidRPr="00C1597E">
              <w:rPr>
                <w:noProof/>
                <w:webHidden/>
                <w:sz w:val="20"/>
                <w:szCs w:val="20"/>
              </w:rPr>
              <w:fldChar w:fldCharType="end"/>
            </w:r>
          </w:hyperlink>
        </w:p>
        <w:p w14:paraId="06A42BB9" w14:textId="4CBA49FB" w:rsidR="00C1597E" w:rsidRPr="00C1597E" w:rsidRDefault="00CE0A45">
          <w:pPr>
            <w:pStyle w:val="TOC3"/>
            <w:tabs>
              <w:tab w:val="left" w:pos="2160"/>
            </w:tabs>
            <w:rPr>
              <w:rFonts w:eastAsiaTheme="minorEastAsia" w:cstheme="minorBidi"/>
              <w:noProof/>
              <w:color w:val="auto"/>
              <w:sz w:val="20"/>
              <w:szCs w:val="20"/>
              <w:bdr w:val="none" w:sz="0" w:space="0" w:color="auto"/>
              <w:lang w:val="en-US" w:eastAsia="en-US"/>
            </w:rPr>
          </w:pPr>
          <w:hyperlink w:anchor="_Toc5020343" w:history="1">
            <w:r w:rsidR="00C1597E" w:rsidRPr="00C1597E">
              <w:rPr>
                <w:rStyle w:val="Hyperlink"/>
                <w:noProof/>
                <w:sz w:val="20"/>
                <w:szCs w:val="20"/>
                <w:lang w:val="es-AR"/>
              </w:rPr>
              <w:t>4.</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lang w:val="es-ES_tradnl"/>
              </w:rPr>
              <w:t>Consideraciones</w:t>
            </w:r>
            <w:r w:rsidR="00C1597E" w:rsidRPr="00C1597E">
              <w:rPr>
                <w:rStyle w:val="Hyperlink"/>
                <w:noProof/>
                <w:sz w:val="20"/>
                <w:szCs w:val="20"/>
              </w:rPr>
              <w:t xml:space="preserve"> relevantes de la Organización Internacional del Trabajo</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_Toc5020343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10</w:t>
            </w:r>
            <w:r w:rsidR="00C1597E" w:rsidRPr="00C1597E">
              <w:rPr>
                <w:noProof/>
                <w:webHidden/>
                <w:sz w:val="20"/>
                <w:szCs w:val="20"/>
              </w:rPr>
              <w:fldChar w:fldCharType="end"/>
            </w:r>
          </w:hyperlink>
        </w:p>
        <w:p w14:paraId="632E1978" w14:textId="39C1C67F" w:rsidR="00C1597E" w:rsidRPr="00C1597E" w:rsidRDefault="00CE0A45">
          <w:pPr>
            <w:pStyle w:val="TOC1"/>
            <w:tabs>
              <w:tab w:val="left" w:pos="1440"/>
              <w:tab w:val="right" w:leader="dot" w:pos="9350"/>
            </w:tabs>
            <w:rPr>
              <w:rFonts w:asciiTheme="majorHAnsi" w:eastAsiaTheme="minorEastAsia" w:hAnsiTheme="majorHAnsi" w:cstheme="minorBidi"/>
              <w:noProof/>
              <w:color w:val="auto"/>
              <w:sz w:val="20"/>
              <w:szCs w:val="20"/>
              <w:bdr w:val="none" w:sz="0" w:space="0" w:color="auto"/>
              <w:lang w:val="en-US" w:eastAsia="en-US"/>
            </w:rPr>
          </w:pPr>
          <w:hyperlink w:anchor="_Toc5020344" w:history="1">
            <w:r w:rsidR="00C1597E" w:rsidRPr="00C1597E">
              <w:rPr>
                <w:rStyle w:val="Hyperlink"/>
                <w:rFonts w:asciiTheme="majorHAnsi" w:hAnsiTheme="majorHAnsi"/>
                <w:b/>
                <w:noProof/>
                <w:sz w:val="20"/>
                <w:szCs w:val="20"/>
              </w:rPr>
              <w:t>IV.</w:t>
            </w:r>
            <w:r w:rsidR="00C1597E" w:rsidRPr="00C1597E">
              <w:rPr>
                <w:rFonts w:asciiTheme="majorHAnsi" w:eastAsiaTheme="minorEastAsia" w:hAnsiTheme="majorHAnsi" w:cstheme="minorBidi"/>
                <w:b/>
                <w:noProof/>
                <w:color w:val="auto"/>
                <w:sz w:val="20"/>
                <w:szCs w:val="20"/>
                <w:bdr w:val="none" w:sz="0" w:space="0" w:color="auto"/>
                <w:lang w:val="en-US" w:eastAsia="en-US"/>
              </w:rPr>
              <w:tab/>
            </w:r>
            <w:r w:rsidR="00C1597E" w:rsidRPr="00C1597E">
              <w:rPr>
                <w:rStyle w:val="Hyperlink"/>
                <w:rFonts w:asciiTheme="majorHAnsi" w:hAnsiTheme="majorHAnsi"/>
                <w:b/>
                <w:noProof/>
                <w:sz w:val="20"/>
                <w:szCs w:val="20"/>
              </w:rPr>
              <w:t>ANÁLISIS DE DERECHO</w:t>
            </w:r>
            <w:r w:rsidR="00C1597E" w:rsidRPr="00C1597E">
              <w:rPr>
                <w:rFonts w:asciiTheme="majorHAnsi" w:hAnsiTheme="majorHAnsi"/>
                <w:noProof/>
                <w:webHidden/>
                <w:sz w:val="20"/>
                <w:szCs w:val="20"/>
              </w:rPr>
              <w:tab/>
            </w:r>
            <w:r w:rsidR="00C1597E" w:rsidRPr="00C1597E">
              <w:rPr>
                <w:rFonts w:asciiTheme="majorHAnsi" w:hAnsiTheme="majorHAnsi"/>
                <w:noProof/>
                <w:webHidden/>
                <w:sz w:val="20"/>
                <w:szCs w:val="20"/>
              </w:rPr>
              <w:fldChar w:fldCharType="begin"/>
            </w:r>
            <w:r w:rsidR="00C1597E" w:rsidRPr="00C1597E">
              <w:rPr>
                <w:rFonts w:asciiTheme="majorHAnsi" w:hAnsiTheme="majorHAnsi"/>
                <w:noProof/>
                <w:webHidden/>
                <w:sz w:val="20"/>
                <w:szCs w:val="20"/>
              </w:rPr>
              <w:instrText xml:space="preserve"> PAGEREF _Toc5020344 \h </w:instrText>
            </w:r>
            <w:r w:rsidR="00C1597E" w:rsidRPr="00C1597E">
              <w:rPr>
                <w:rFonts w:asciiTheme="majorHAnsi" w:hAnsiTheme="majorHAnsi"/>
                <w:noProof/>
                <w:webHidden/>
                <w:sz w:val="20"/>
                <w:szCs w:val="20"/>
              </w:rPr>
            </w:r>
            <w:r w:rsidR="00C1597E" w:rsidRPr="00C1597E">
              <w:rPr>
                <w:rFonts w:asciiTheme="majorHAnsi" w:hAnsiTheme="majorHAnsi"/>
                <w:noProof/>
                <w:webHidden/>
                <w:sz w:val="20"/>
                <w:szCs w:val="20"/>
              </w:rPr>
              <w:fldChar w:fldCharType="separate"/>
            </w:r>
            <w:r w:rsidR="00BE5D8B">
              <w:rPr>
                <w:rFonts w:asciiTheme="majorHAnsi" w:hAnsiTheme="majorHAnsi"/>
                <w:noProof/>
                <w:webHidden/>
                <w:sz w:val="20"/>
                <w:szCs w:val="20"/>
              </w:rPr>
              <w:t>11</w:t>
            </w:r>
            <w:r w:rsidR="00C1597E" w:rsidRPr="00C1597E">
              <w:rPr>
                <w:rFonts w:asciiTheme="majorHAnsi" w:hAnsiTheme="majorHAnsi"/>
                <w:noProof/>
                <w:webHidden/>
                <w:sz w:val="20"/>
                <w:szCs w:val="20"/>
              </w:rPr>
              <w:fldChar w:fldCharType="end"/>
            </w:r>
          </w:hyperlink>
        </w:p>
        <w:p w14:paraId="7A93F272" w14:textId="5137F5BF" w:rsidR="00C1597E" w:rsidRPr="00C1597E" w:rsidRDefault="00CE0A45">
          <w:pPr>
            <w:pStyle w:val="TOC2"/>
            <w:rPr>
              <w:rFonts w:eastAsiaTheme="minorEastAsia" w:cstheme="minorBidi"/>
              <w:noProof/>
              <w:color w:val="auto"/>
              <w:sz w:val="20"/>
              <w:szCs w:val="20"/>
              <w:bdr w:val="none" w:sz="0" w:space="0" w:color="auto"/>
              <w:lang w:val="en-US" w:eastAsia="en-US"/>
            </w:rPr>
          </w:pPr>
          <w:hyperlink w:anchor="_Toc5020345" w:history="1">
            <w:r w:rsidR="00C1597E" w:rsidRPr="00C1597E">
              <w:rPr>
                <w:rStyle w:val="Hyperlink"/>
                <w:noProof/>
                <w:sz w:val="20"/>
                <w:szCs w:val="20"/>
              </w:rPr>
              <w:t>A.</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rPr>
              <w:t>Cuestiones previas</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_Toc5020345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11</w:t>
            </w:r>
            <w:r w:rsidR="00C1597E" w:rsidRPr="00C1597E">
              <w:rPr>
                <w:noProof/>
                <w:webHidden/>
                <w:sz w:val="20"/>
                <w:szCs w:val="20"/>
              </w:rPr>
              <w:fldChar w:fldCharType="end"/>
            </w:r>
          </w:hyperlink>
        </w:p>
        <w:p w14:paraId="18C90829" w14:textId="7FBF0251" w:rsidR="00C1597E" w:rsidRPr="00C1597E" w:rsidRDefault="00CE0A45">
          <w:pPr>
            <w:pStyle w:val="TOC2"/>
            <w:rPr>
              <w:rFonts w:eastAsiaTheme="minorEastAsia" w:cstheme="minorBidi"/>
              <w:noProof/>
              <w:color w:val="auto"/>
              <w:sz w:val="20"/>
              <w:szCs w:val="20"/>
              <w:bdr w:val="none" w:sz="0" w:space="0" w:color="auto"/>
              <w:lang w:val="en-US" w:eastAsia="en-US"/>
            </w:rPr>
          </w:pPr>
          <w:hyperlink w:anchor="_Toc5020346" w:history="1">
            <w:r w:rsidR="00C1597E" w:rsidRPr="00C1597E">
              <w:rPr>
                <w:rStyle w:val="Hyperlink"/>
                <w:noProof/>
                <w:sz w:val="20"/>
                <w:szCs w:val="20"/>
              </w:rPr>
              <w:t>B.</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rPr>
              <w:t>Derechos a las garantías judiciales, propiedad privada y protección judicial (artículos 8.1, 21.1 y 25.2.c) de la Convención Americana, en relación con los artículos 1.1 y 2 del mismo instrumento)</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_Toc5020346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12</w:t>
            </w:r>
            <w:r w:rsidR="00C1597E" w:rsidRPr="00C1597E">
              <w:rPr>
                <w:noProof/>
                <w:webHidden/>
                <w:sz w:val="20"/>
                <w:szCs w:val="20"/>
              </w:rPr>
              <w:fldChar w:fldCharType="end"/>
            </w:r>
          </w:hyperlink>
        </w:p>
        <w:p w14:paraId="734AD366" w14:textId="7F77E962" w:rsidR="00C1597E" w:rsidRPr="00C1597E" w:rsidRDefault="00CE0A45">
          <w:pPr>
            <w:pStyle w:val="TOC3"/>
            <w:tabs>
              <w:tab w:val="left" w:pos="2160"/>
            </w:tabs>
            <w:rPr>
              <w:rFonts w:eastAsiaTheme="minorEastAsia" w:cstheme="minorBidi"/>
              <w:noProof/>
              <w:color w:val="auto"/>
              <w:sz w:val="20"/>
              <w:szCs w:val="20"/>
              <w:bdr w:val="none" w:sz="0" w:space="0" w:color="auto"/>
              <w:lang w:val="en-US" w:eastAsia="en-US"/>
            </w:rPr>
          </w:pPr>
          <w:hyperlink w:anchor="_Toc5020347" w:history="1">
            <w:r w:rsidR="00C1597E" w:rsidRPr="00C1597E">
              <w:rPr>
                <w:rStyle w:val="Hyperlink"/>
                <w:noProof/>
                <w:sz w:val="20"/>
                <w:szCs w:val="20"/>
                <w:lang w:val="es-AR"/>
              </w:rPr>
              <w:t>1.</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rPr>
              <w:t>Consideraciones generales sobre la tutela judicial efectiva y el cumplimiento de los fallos internos</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_Toc5020347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12</w:t>
            </w:r>
            <w:r w:rsidR="00C1597E" w:rsidRPr="00C1597E">
              <w:rPr>
                <w:noProof/>
                <w:webHidden/>
                <w:sz w:val="20"/>
                <w:szCs w:val="20"/>
              </w:rPr>
              <w:fldChar w:fldCharType="end"/>
            </w:r>
          </w:hyperlink>
        </w:p>
        <w:p w14:paraId="189CED56" w14:textId="055BFD9F" w:rsidR="00C1597E" w:rsidRPr="00C1597E" w:rsidRDefault="00CE0A45">
          <w:pPr>
            <w:pStyle w:val="TOC3"/>
            <w:tabs>
              <w:tab w:val="left" w:pos="2160"/>
            </w:tabs>
            <w:rPr>
              <w:rFonts w:eastAsiaTheme="minorEastAsia" w:cstheme="minorBidi"/>
              <w:noProof/>
              <w:color w:val="auto"/>
              <w:sz w:val="20"/>
              <w:szCs w:val="20"/>
              <w:bdr w:val="none" w:sz="0" w:space="0" w:color="auto"/>
              <w:lang w:val="en-US" w:eastAsia="en-US"/>
            </w:rPr>
          </w:pPr>
          <w:hyperlink w:anchor="_Toc5020348" w:history="1">
            <w:r w:rsidR="00C1597E" w:rsidRPr="00C1597E">
              <w:rPr>
                <w:rStyle w:val="Hyperlink"/>
                <w:noProof/>
                <w:sz w:val="20"/>
                <w:szCs w:val="20"/>
                <w:lang w:val="es-AR"/>
              </w:rPr>
              <w:t>2.</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rPr>
              <w:t>Análisis del presente caso</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_Toc5020348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13</w:t>
            </w:r>
            <w:r w:rsidR="00C1597E" w:rsidRPr="00C1597E">
              <w:rPr>
                <w:noProof/>
                <w:webHidden/>
                <w:sz w:val="20"/>
                <w:szCs w:val="20"/>
              </w:rPr>
              <w:fldChar w:fldCharType="end"/>
            </w:r>
          </w:hyperlink>
        </w:p>
        <w:p w14:paraId="5749CAB1" w14:textId="45424783" w:rsidR="00C1597E" w:rsidRPr="00C1597E" w:rsidRDefault="00CE0A45">
          <w:pPr>
            <w:pStyle w:val="TOC3"/>
            <w:tabs>
              <w:tab w:val="left" w:pos="2160"/>
            </w:tabs>
            <w:rPr>
              <w:rFonts w:eastAsiaTheme="minorEastAsia" w:cstheme="minorBidi"/>
              <w:noProof/>
              <w:color w:val="auto"/>
              <w:sz w:val="20"/>
              <w:szCs w:val="20"/>
              <w:bdr w:val="none" w:sz="0" w:space="0" w:color="auto"/>
              <w:lang w:val="en-US" w:eastAsia="en-US"/>
            </w:rPr>
          </w:pPr>
          <w:hyperlink w:anchor="_Toc5020349" w:history="1">
            <w:r w:rsidR="00C1597E" w:rsidRPr="00C1597E">
              <w:rPr>
                <w:rStyle w:val="Hyperlink"/>
                <w:noProof/>
                <w:sz w:val="20"/>
                <w:szCs w:val="20"/>
                <w:lang w:val="es-AR"/>
              </w:rPr>
              <w:t>3.</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rPr>
              <w:t>Plazo razonable en la ejecución de fallos internos</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_Toc5020349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14</w:t>
            </w:r>
            <w:r w:rsidR="00C1597E" w:rsidRPr="00C1597E">
              <w:rPr>
                <w:noProof/>
                <w:webHidden/>
                <w:sz w:val="20"/>
                <w:szCs w:val="20"/>
              </w:rPr>
              <w:fldChar w:fldCharType="end"/>
            </w:r>
          </w:hyperlink>
        </w:p>
        <w:p w14:paraId="44F1C8F5" w14:textId="12D70229" w:rsidR="00C1597E" w:rsidRPr="00C1597E" w:rsidRDefault="00CE0A45">
          <w:pPr>
            <w:pStyle w:val="TOC3"/>
            <w:tabs>
              <w:tab w:val="left" w:pos="2160"/>
            </w:tabs>
            <w:rPr>
              <w:rFonts w:eastAsiaTheme="minorEastAsia" w:cstheme="minorBidi"/>
              <w:noProof/>
              <w:color w:val="auto"/>
              <w:sz w:val="20"/>
              <w:szCs w:val="20"/>
              <w:bdr w:val="none" w:sz="0" w:space="0" w:color="auto"/>
              <w:lang w:val="en-US" w:eastAsia="en-US"/>
            </w:rPr>
          </w:pPr>
          <w:hyperlink w:anchor="_Toc5020350" w:history="1">
            <w:r w:rsidR="00C1597E" w:rsidRPr="00C1597E">
              <w:rPr>
                <w:rStyle w:val="Hyperlink"/>
                <w:noProof/>
                <w:sz w:val="20"/>
                <w:szCs w:val="20"/>
                <w:lang w:val="es-AR"/>
              </w:rPr>
              <w:t>4.</w:t>
            </w:r>
            <w:r w:rsidR="00C1597E" w:rsidRPr="00C1597E">
              <w:rPr>
                <w:rFonts w:eastAsiaTheme="minorEastAsia" w:cstheme="minorBidi"/>
                <w:noProof/>
                <w:color w:val="auto"/>
                <w:sz w:val="20"/>
                <w:szCs w:val="20"/>
                <w:bdr w:val="none" w:sz="0" w:space="0" w:color="auto"/>
                <w:lang w:val="en-US" w:eastAsia="en-US"/>
              </w:rPr>
              <w:tab/>
            </w:r>
            <w:r w:rsidR="00C1597E" w:rsidRPr="00C1597E">
              <w:rPr>
                <w:rStyle w:val="Hyperlink"/>
                <w:noProof/>
                <w:sz w:val="20"/>
                <w:szCs w:val="20"/>
              </w:rPr>
              <w:t>El derecho a la propiedad privada en relación con la falta de ejecución de fallos internos relativos a la pensión</w:t>
            </w:r>
            <w:r w:rsidR="00C1597E" w:rsidRPr="00C1597E">
              <w:rPr>
                <w:noProof/>
                <w:webHidden/>
                <w:sz w:val="20"/>
                <w:szCs w:val="20"/>
              </w:rPr>
              <w:tab/>
            </w:r>
            <w:r w:rsidR="00C1597E" w:rsidRPr="00C1597E">
              <w:rPr>
                <w:noProof/>
                <w:webHidden/>
                <w:sz w:val="20"/>
                <w:szCs w:val="20"/>
              </w:rPr>
              <w:fldChar w:fldCharType="begin"/>
            </w:r>
            <w:r w:rsidR="00C1597E" w:rsidRPr="00C1597E">
              <w:rPr>
                <w:noProof/>
                <w:webHidden/>
                <w:sz w:val="20"/>
                <w:szCs w:val="20"/>
              </w:rPr>
              <w:instrText xml:space="preserve"> PAGEREF _Toc5020350 \h </w:instrText>
            </w:r>
            <w:r w:rsidR="00C1597E" w:rsidRPr="00C1597E">
              <w:rPr>
                <w:noProof/>
                <w:webHidden/>
                <w:sz w:val="20"/>
                <w:szCs w:val="20"/>
              </w:rPr>
            </w:r>
            <w:r w:rsidR="00C1597E" w:rsidRPr="00C1597E">
              <w:rPr>
                <w:noProof/>
                <w:webHidden/>
                <w:sz w:val="20"/>
                <w:szCs w:val="20"/>
              </w:rPr>
              <w:fldChar w:fldCharType="separate"/>
            </w:r>
            <w:r w:rsidR="00BE5D8B">
              <w:rPr>
                <w:noProof/>
                <w:webHidden/>
                <w:sz w:val="20"/>
                <w:szCs w:val="20"/>
              </w:rPr>
              <w:t>15</w:t>
            </w:r>
            <w:r w:rsidR="00C1597E" w:rsidRPr="00C1597E">
              <w:rPr>
                <w:noProof/>
                <w:webHidden/>
                <w:sz w:val="20"/>
                <w:szCs w:val="20"/>
              </w:rPr>
              <w:fldChar w:fldCharType="end"/>
            </w:r>
          </w:hyperlink>
        </w:p>
        <w:p w14:paraId="0AB744FC" w14:textId="414E43B2" w:rsidR="00C1597E" w:rsidRPr="00C1597E" w:rsidRDefault="00CE0A45">
          <w:pPr>
            <w:pStyle w:val="TOC1"/>
            <w:tabs>
              <w:tab w:val="left" w:pos="1440"/>
              <w:tab w:val="right" w:leader="dot" w:pos="9350"/>
            </w:tabs>
            <w:rPr>
              <w:rFonts w:asciiTheme="majorHAnsi" w:eastAsiaTheme="minorEastAsia" w:hAnsiTheme="majorHAnsi" w:cstheme="minorBidi"/>
              <w:noProof/>
              <w:color w:val="auto"/>
              <w:sz w:val="20"/>
              <w:szCs w:val="20"/>
              <w:bdr w:val="none" w:sz="0" w:space="0" w:color="auto"/>
              <w:lang w:val="en-US" w:eastAsia="en-US"/>
            </w:rPr>
          </w:pPr>
          <w:hyperlink w:anchor="_Toc5020351" w:history="1">
            <w:r w:rsidR="00C1597E" w:rsidRPr="00C1597E">
              <w:rPr>
                <w:rStyle w:val="Hyperlink"/>
                <w:rFonts w:asciiTheme="majorHAnsi" w:hAnsiTheme="majorHAnsi"/>
                <w:b/>
                <w:noProof/>
                <w:sz w:val="20"/>
                <w:szCs w:val="20"/>
              </w:rPr>
              <w:t>V.</w:t>
            </w:r>
            <w:r w:rsidR="00C1597E" w:rsidRPr="00C1597E">
              <w:rPr>
                <w:rFonts w:asciiTheme="majorHAnsi" w:eastAsiaTheme="minorEastAsia" w:hAnsiTheme="majorHAnsi" w:cstheme="minorBidi"/>
                <w:b/>
                <w:noProof/>
                <w:color w:val="auto"/>
                <w:sz w:val="20"/>
                <w:szCs w:val="20"/>
                <w:bdr w:val="none" w:sz="0" w:space="0" w:color="auto"/>
                <w:lang w:val="en-US" w:eastAsia="en-US"/>
              </w:rPr>
              <w:tab/>
            </w:r>
            <w:r w:rsidR="00C1597E" w:rsidRPr="00C1597E">
              <w:rPr>
                <w:rStyle w:val="Hyperlink"/>
                <w:rFonts w:asciiTheme="majorHAnsi" w:hAnsiTheme="majorHAnsi"/>
                <w:b/>
                <w:noProof/>
                <w:sz w:val="20"/>
                <w:szCs w:val="20"/>
              </w:rPr>
              <w:t>CONCLUSIONES Y RECOMENDACIONES</w:t>
            </w:r>
            <w:r w:rsidR="00C1597E" w:rsidRPr="00C1597E">
              <w:rPr>
                <w:rFonts w:asciiTheme="majorHAnsi" w:hAnsiTheme="majorHAnsi"/>
                <w:noProof/>
                <w:webHidden/>
                <w:sz w:val="20"/>
                <w:szCs w:val="20"/>
              </w:rPr>
              <w:tab/>
            </w:r>
            <w:r w:rsidR="00C1597E" w:rsidRPr="00C1597E">
              <w:rPr>
                <w:rFonts w:asciiTheme="majorHAnsi" w:hAnsiTheme="majorHAnsi"/>
                <w:noProof/>
                <w:webHidden/>
                <w:sz w:val="20"/>
                <w:szCs w:val="20"/>
              </w:rPr>
              <w:fldChar w:fldCharType="begin"/>
            </w:r>
            <w:r w:rsidR="00C1597E" w:rsidRPr="00C1597E">
              <w:rPr>
                <w:rFonts w:asciiTheme="majorHAnsi" w:hAnsiTheme="majorHAnsi"/>
                <w:noProof/>
                <w:webHidden/>
                <w:sz w:val="20"/>
                <w:szCs w:val="20"/>
              </w:rPr>
              <w:instrText xml:space="preserve"> PAGEREF _Toc5020351 \h </w:instrText>
            </w:r>
            <w:r w:rsidR="00C1597E" w:rsidRPr="00C1597E">
              <w:rPr>
                <w:rFonts w:asciiTheme="majorHAnsi" w:hAnsiTheme="majorHAnsi"/>
                <w:noProof/>
                <w:webHidden/>
                <w:sz w:val="20"/>
                <w:szCs w:val="20"/>
              </w:rPr>
            </w:r>
            <w:r w:rsidR="00C1597E" w:rsidRPr="00C1597E">
              <w:rPr>
                <w:rFonts w:asciiTheme="majorHAnsi" w:hAnsiTheme="majorHAnsi"/>
                <w:noProof/>
                <w:webHidden/>
                <w:sz w:val="20"/>
                <w:szCs w:val="20"/>
              </w:rPr>
              <w:fldChar w:fldCharType="separate"/>
            </w:r>
            <w:r w:rsidR="00BE5D8B">
              <w:rPr>
                <w:rFonts w:asciiTheme="majorHAnsi" w:hAnsiTheme="majorHAnsi"/>
                <w:noProof/>
                <w:webHidden/>
                <w:sz w:val="20"/>
                <w:szCs w:val="20"/>
              </w:rPr>
              <w:t>16</w:t>
            </w:r>
            <w:r w:rsidR="00C1597E" w:rsidRPr="00C1597E">
              <w:rPr>
                <w:rFonts w:asciiTheme="majorHAnsi" w:hAnsiTheme="majorHAnsi"/>
                <w:noProof/>
                <w:webHidden/>
                <w:sz w:val="20"/>
                <w:szCs w:val="20"/>
              </w:rPr>
              <w:fldChar w:fldCharType="end"/>
            </w:r>
          </w:hyperlink>
        </w:p>
        <w:p w14:paraId="33DE3331" w14:textId="77777777" w:rsidR="00C1597E" w:rsidRDefault="00C1597E">
          <w:r>
            <w:rPr>
              <w:b/>
              <w:bCs/>
              <w:noProof/>
            </w:rPr>
            <w:fldChar w:fldCharType="end"/>
          </w:r>
        </w:p>
      </w:sdtContent>
    </w:sdt>
    <w:p w14:paraId="6E5EA8C1" w14:textId="77777777" w:rsidR="002508BE" w:rsidRDefault="002508BE"/>
    <w:p w14:paraId="407CD8AB" w14:textId="77777777" w:rsidR="008D768D" w:rsidRPr="006125C3" w:rsidRDefault="008D768D" w:rsidP="006125C3">
      <w:pPr>
        <w:tabs>
          <w:tab w:val="center" w:pos="5400"/>
        </w:tabs>
        <w:suppressAutoHyphens/>
        <w:spacing w:line="276" w:lineRule="auto"/>
        <w:rPr>
          <w:sz w:val="20"/>
          <w:szCs w:val="20"/>
          <w:lang w:val="es-ES_tradnl"/>
        </w:rPr>
      </w:pPr>
    </w:p>
    <w:p w14:paraId="1090E8F9" w14:textId="77777777" w:rsidR="00E909AA" w:rsidRPr="00E909AA" w:rsidRDefault="00E909AA" w:rsidP="00E909AA">
      <w:pPr>
        <w:suppressAutoHyphens/>
        <w:rPr>
          <w:b/>
          <w:sz w:val="20"/>
          <w:szCs w:val="20"/>
          <w:lang w:val="es-ES_tradnl"/>
        </w:rPr>
      </w:pPr>
    </w:p>
    <w:p w14:paraId="22464B8F" w14:textId="77777777" w:rsidR="00E909AA" w:rsidRPr="00F902EB" w:rsidRDefault="006125C3" w:rsidP="00E909AA">
      <w:pPr>
        <w:tabs>
          <w:tab w:val="left" w:pos="720"/>
          <w:tab w:val="left" w:pos="1440"/>
          <w:tab w:val="right" w:leader="dot" w:pos="9350"/>
        </w:tabs>
        <w:spacing w:after="100"/>
        <w:ind w:left="720" w:hanging="720"/>
        <w:rPr>
          <w:rFonts w:eastAsia="Times New Roman"/>
          <w:b/>
          <w:noProof/>
          <w:sz w:val="20"/>
          <w:szCs w:val="20"/>
          <w:bdr w:val="none" w:sz="0" w:space="0" w:color="auto"/>
        </w:rPr>
      </w:pPr>
      <w:r w:rsidRPr="00E909AA">
        <w:rPr>
          <w:b/>
          <w:sz w:val="20"/>
          <w:szCs w:val="20"/>
          <w:lang w:val="es-ES_tradnl"/>
        </w:rPr>
        <w:fldChar w:fldCharType="begin"/>
      </w:r>
      <w:r w:rsidRPr="006125C3">
        <w:rPr>
          <w:b/>
          <w:sz w:val="20"/>
          <w:szCs w:val="20"/>
          <w:lang w:val="es-ES_tradnl"/>
        </w:rPr>
        <w:instrText xml:space="preserve"> TOC \o "1-7" \h \z \u </w:instrText>
      </w:r>
      <w:r w:rsidRPr="00E909AA">
        <w:rPr>
          <w:b/>
          <w:sz w:val="20"/>
          <w:szCs w:val="20"/>
          <w:lang w:val="es-ES_tradnl"/>
        </w:rPr>
        <w:fldChar w:fldCharType="separate"/>
      </w:r>
    </w:p>
    <w:p w14:paraId="7DCD8224" w14:textId="77777777" w:rsidR="006125C3" w:rsidRPr="00F902EB" w:rsidRDefault="006125C3" w:rsidP="006125C3">
      <w:pPr>
        <w:tabs>
          <w:tab w:val="left" w:pos="720"/>
          <w:tab w:val="left" w:pos="1440"/>
          <w:tab w:val="right" w:leader="dot" w:pos="9350"/>
        </w:tabs>
        <w:spacing w:after="100"/>
        <w:ind w:left="720" w:hanging="720"/>
        <w:rPr>
          <w:rFonts w:eastAsia="Times New Roman"/>
          <w:b/>
          <w:noProof/>
          <w:sz w:val="20"/>
          <w:szCs w:val="20"/>
          <w:bdr w:val="none" w:sz="0" w:space="0" w:color="auto"/>
        </w:rPr>
      </w:pPr>
    </w:p>
    <w:p w14:paraId="50068D12" w14:textId="77777777" w:rsidR="008D768D" w:rsidRPr="007253B8" w:rsidRDefault="006125C3" w:rsidP="006125C3">
      <w:pPr>
        <w:tabs>
          <w:tab w:val="center" w:pos="5400"/>
        </w:tabs>
        <w:suppressAutoHyphens/>
        <w:spacing w:line="276" w:lineRule="auto"/>
        <w:rPr>
          <w:sz w:val="20"/>
          <w:szCs w:val="20"/>
          <w:lang w:val="es-ES_tradnl"/>
        </w:rPr>
      </w:pPr>
      <w:r w:rsidRPr="00E909AA">
        <w:rPr>
          <w:b/>
          <w:sz w:val="20"/>
          <w:szCs w:val="20"/>
          <w:lang w:val="es-ES_tradnl"/>
        </w:rPr>
        <w:fldChar w:fldCharType="end"/>
      </w:r>
    </w:p>
    <w:p w14:paraId="265EDE42" w14:textId="77777777" w:rsidR="00722C9F" w:rsidRDefault="00722C9F">
      <w:pPr>
        <w:rPr>
          <w:rFonts w:ascii="Cambria" w:hAnsi="Cambria"/>
          <w:sz w:val="20"/>
          <w:szCs w:val="20"/>
        </w:rPr>
      </w:pPr>
      <w:r>
        <w:rPr>
          <w:rFonts w:ascii="Cambria" w:hAnsi="Cambria"/>
          <w:sz w:val="20"/>
          <w:szCs w:val="20"/>
        </w:rPr>
        <w:br w:type="page"/>
      </w:r>
    </w:p>
    <w:p w14:paraId="208140FA" w14:textId="77777777" w:rsidR="00722C9F" w:rsidRPr="00B67999" w:rsidRDefault="007C756A" w:rsidP="00722C9F">
      <w:pPr>
        <w:tabs>
          <w:tab w:val="center" w:pos="5400"/>
        </w:tabs>
        <w:suppressAutoHyphens/>
        <w:spacing w:line="276" w:lineRule="auto"/>
        <w:jc w:val="center"/>
        <w:rPr>
          <w:b/>
          <w:sz w:val="18"/>
          <w:szCs w:val="20"/>
        </w:rPr>
      </w:pPr>
      <w:r w:rsidRPr="00F902EB">
        <w:rPr>
          <w:b/>
          <w:sz w:val="18"/>
          <w:szCs w:val="20"/>
        </w:rPr>
        <w:t xml:space="preserve">INFORME No. </w:t>
      </w:r>
      <w:r w:rsidR="00CB7A12">
        <w:rPr>
          <w:b/>
          <w:sz w:val="18"/>
          <w:szCs w:val="20"/>
        </w:rPr>
        <w:t>12</w:t>
      </w:r>
      <w:r w:rsidRPr="00B67999">
        <w:rPr>
          <w:b/>
          <w:sz w:val="18"/>
          <w:szCs w:val="20"/>
        </w:rPr>
        <w:t>/</w:t>
      </w:r>
      <w:r w:rsidR="00B51AB6">
        <w:rPr>
          <w:b/>
          <w:sz w:val="18"/>
          <w:szCs w:val="20"/>
        </w:rPr>
        <w:t>1</w:t>
      </w:r>
      <w:r w:rsidR="003C6472">
        <w:rPr>
          <w:b/>
          <w:sz w:val="18"/>
          <w:szCs w:val="20"/>
        </w:rPr>
        <w:t>9</w:t>
      </w:r>
    </w:p>
    <w:p w14:paraId="19A676BD" w14:textId="77777777" w:rsidR="003F403C" w:rsidRPr="00AA4779" w:rsidRDefault="00722C9F" w:rsidP="003F403C">
      <w:pPr>
        <w:tabs>
          <w:tab w:val="center" w:pos="5400"/>
        </w:tabs>
        <w:suppressAutoHyphens/>
        <w:spacing w:line="276" w:lineRule="auto"/>
        <w:jc w:val="center"/>
        <w:rPr>
          <w:b/>
          <w:sz w:val="18"/>
          <w:szCs w:val="20"/>
          <w:lang w:val="es-US"/>
        </w:rPr>
      </w:pPr>
      <w:r w:rsidRPr="00B67999">
        <w:rPr>
          <w:b/>
          <w:sz w:val="18"/>
          <w:szCs w:val="20"/>
        </w:rPr>
        <w:t xml:space="preserve"> </w:t>
      </w:r>
      <w:r w:rsidR="003F403C" w:rsidRPr="00AA4779">
        <w:rPr>
          <w:b/>
          <w:sz w:val="18"/>
          <w:szCs w:val="20"/>
          <w:lang w:val="es-US"/>
        </w:rPr>
        <w:t>CASO 12.903</w:t>
      </w:r>
    </w:p>
    <w:p w14:paraId="2225E1D1" w14:textId="77777777" w:rsidR="003F403C" w:rsidRPr="00722C9F" w:rsidRDefault="003F403C" w:rsidP="003F403C">
      <w:pPr>
        <w:tabs>
          <w:tab w:val="center" w:pos="5400"/>
        </w:tabs>
        <w:suppressAutoHyphens/>
        <w:spacing w:line="276" w:lineRule="auto"/>
        <w:jc w:val="center"/>
        <w:rPr>
          <w:sz w:val="18"/>
          <w:szCs w:val="20"/>
          <w:lang w:val="es-ES_tradnl"/>
        </w:rPr>
      </w:pPr>
      <w:r>
        <w:rPr>
          <w:sz w:val="18"/>
          <w:szCs w:val="20"/>
          <w:lang w:val="es-ES_tradnl"/>
        </w:rPr>
        <w:t>FONDO</w:t>
      </w:r>
    </w:p>
    <w:p w14:paraId="2254C866" w14:textId="77777777" w:rsidR="003F403C" w:rsidRPr="00722C9F" w:rsidRDefault="003F403C" w:rsidP="003F403C">
      <w:pPr>
        <w:tabs>
          <w:tab w:val="center" w:pos="5400"/>
        </w:tabs>
        <w:suppressAutoHyphens/>
        <w:spacing w:line="276" w:lineRule="auto"/>
        <w:jc w:val="center"/>
        <w:rPr>
          <w:sz w:val="18"/>
          <w:szCs w:val="20"/>
          <w:lang w:val="es-ES_tradnl"/>
        </w:rPr>
      </w:pPr>
      <w:r>
        <w:rPr>
          <w:sz w:val="18"/>
          <w:szCs w:val="20"/>
          <w:lang w:val="es-ES_tradnl"/>
        </w:rPr>
        <w:t>PROFESORES DE CHAÑARAL</w:t>
      </w:r>
      <w:r w:rsidR="00AA4779">
        <w:rPr>
          <w:sz w:val="18"/>
          <w:szCs w:val="20"/>
          <w:lang w:val="es-ES_tradnl"/>
        </w:rPr>
        <w:t xml:space="preserve"> </w:t>
      </w:r>
      <w:r w:rsidR="00024EB0" w:rsidRPr="00024EB0">
        <w:rPr>
          <w:sz w:val="18"/>
          <w:szCs w:val="20"/>
          <w:lang w:val="es-ES_tradnl"/>
        </w:rPr>
        <w:t>Y OTRAS MUNICIPALIDADES</w:t>
      </w:r>
    </w:p>
    <w:p w14:paraId="2998B0BF" w14:textId="77777777" w:rsidR="00722C9F" w:rsidRDefault="003F403C" w:rsidP="003F403C">
      <w:pPr>
        <w:tabs>
          <w:tab w:val="center" w:pos="5400"/>
        </w:tabs>
        <w:suppressAutoHyphens/>
        <w:spacing w:line="276" w:lineRule="auto"/>
        <w:jc w:val="center"/>
        <w:rPr>
          <w:sz w:val="18"/>
          <w:szCs w:val="20"/>
          <w:lang w:val="es-ES_tradnl"/>
        </w:rPr>
      </w:pPr>
      <w:r>
        <w:rPr>
          <w:sz w:val="18"/>
          <w:szCs w:val="20"/>
          <w:lang w:val="es-ES_tradnl"/>
        </w:rPr>
        <w:t>CHILE</w:t>
      </w:r>
      <w:r>
        <w:rPr>
          <w:rStyle w:val="FootnoteReference"/>
          <w:sz w:val="18"/>
          <w:szCs w:val="20"/>
          <w:lang w:val="es-ES_tradnl"/>
        </w:rPr>
        <w:t xml:space="preserve"> </w:t>
      </w:r>
      <w:r w:rsidR="005C4CA5">
        <w:rPr>
          <w:rStyle w:val="FootnoteReference"/>
          <w:sz w:val="18"/>
          <w:szCs w:val="20"/>
          <w:lang w:val="es-ES_tradnl"/>
        </w:rPr>
        <w:footnoteReference w:id="2"/>
      </w:r>
    </w:p>
    <w:p w14:paraId="61C151FF" w14:textId="77777777" w:rsidR="00722C9F" w:rsidRDefault="00CB7A12" w:rsidP="00722C9F">
      <w:pPr>
        <w:tabs>
          <w:tab w:val="center" w:pos="5400"/>
        </w:tabs>
        <w:suppressAutoHyphens/>
        <w:spacing w:line="276" w:lineRule="auto"/>
        <w:jc w:val="center"/>
        <w:rPr>
          <w:sz w:val="18"/>
          <w:szCs w:val="20"/>
          <w:lang w:val="es-ES_tradnl"/>
        </w:rPr>
      </w:pPr>
      <w:r>
        <w:rPr>
          <w:sz w:val="18"/>
          <w:szCs w:val="20"/>
          <w:lang w:val="es-ES_tradnl"/>
        </w:rPr>
        <w:t>12 DE FEBRERO DE 2019</w:t>
      </w:r>
    </w:p>
    <w:p w14:paraId="50738FD5" w14:textId="77777777" w:rsidR="005937F1" w:rsidRDefault="005937F1" w:rsidP="005937F1">
      <w:pPr>
        <w:pStyle w:val="ListParagraph"/>
        <w:suppressAutoHyphens/>
        <w:ind w:left="1440"/>
        <w:rPr>
          <w:rFonts w:asciiTheme="majorHAnsi" w:hAnsiTheme="majorHAnsi"/>
          <w:b/>
          <w:sz w:val="20"/>
          <w:szCs w:val="20"/>
          <w:lang w:val="es-ES_tradnl"/>
        </w:rPr>
      </w:pPr>
    </w:p>
    <w:p w14:paraId="7C61C34E" w14:textId="77777777" w:rsidR="00D12193" w:rsidRPr="00E23A84" w:rsidRDefault="00ED6960" w:rsidP="00A27CA2">
      <w:pPr>
        <w:pStyle w:val="Heading1"/>
        <w:ind w:left="540" w:hanging="540"/>
      </w:pPr>
      <w:bookmarkStart w:id="1" w:name="_Toc532549540"/>
      <w:bookmarkStart w:id="2" w:name="_Toc5020333"/>
      <w:r>
        <w:t>INTRODUCCIÓN</w:t>
      </w:r>
      <w:bookmarkEnd w:id="1"/>
      <w:bookmarkEnd w:id="2"/>
    </w:p>
    <w:p w14:paraId="4D8E7AE0" w14:textId="77777777" w:rsidR="005C4CA5" w:rsidRDefault="005C4CA5" w:rsidP="005C4CA5">
      <w:pPr>
        <w:suppressAutoHyphens/>
        <w:ind w:left="360"/>
        <w:rPr>
          <w:b/>
          <w:sz w:val="20"/>
          <w:szCs w:val="20"/>
          <w:lang w:val="es-ES_tradnl"/>
        </w:rPr>
      </w:pPr>
    </w:p>
    <w:p w14:paraId="6E0CC0CF" w14:textId="77777777" w:rsidR="00A27CA2" w:rsidRDefault="005C4CA5"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cs="Times New Roman"/>
          <w:color w:val="auto"/>
          <w:sz w:val="20"/>
          <w:szCs w:val="20"/>
          <w:lang w:val="es-VE" w:eastAsia="en-US"/>
        </w:rPr>
      </w:pPr>
      <w:r w:rsidRPr="00A27CA2">
        <w:rPr>
          <w:rFonts w:ascii="Cambria" w:eastAsia="Calibri" w:hAnsi="Cambria" w:cs="Times New Roman"/>
          <w:color w:val="auto"/>
          <w:sz w:val="20"/>
          <w:szCs w:val="20"/>
          <w:lang w:val="es-VE" w:eastAsia="en-US"/>
        </w:rPr>
        <w:t xml:space="preserve">El </w:t>
      </w:r>
      <w:r w:rsidR="00476095" w:rsidRPr="00A27CA2">
        <w:rPr>
          <w:rFonts w:ascii="Cambria" w:eastAsia="Calibri" w:hAnsi="Cambria" w:cs="Times New Roman"/>
          <w:color w:val="auto"/>
          <w:sz w:val="20"/>
          <w:szCs w:val="20"/>
          <w:lang w:val="es-VE" w:eastAsia="en-US"/>
        </w:rPr>
        <w:t>23</w:t>
      </w:r>
      <w:r w:rsidRPr="00A27CA2">
        <w:rPr>
          <w:rFonts w:ascii="Cambria" w:eastAsia="Calibri" w:hAnsi="Cambria" w:cs="Times New Roman"/>
          <w:color w:val="auto"/>
          <w:sz w:val="20"/>
          <w:szCs w:val="20"/>
          <w:lang w:val="es-VE" w:eastAsia="en-US"/>
        </w:rPr>
        <w:t xml:space="preserve"> de </w:t>
      </w:r>
      <w:r w:rsidR="00476095" w:rsidRPr="00A27CA2">
        <w:rPr>
          <w:rFonts w:ascii="Cambria" w:eastAsia="Calibri" w:hAnsi="Cambria" w:cs="Times New Roman"/>
          <w:color w:val="auto"/>
          <w:sz w:val="20"/>
          <w:szCs w:val="20"/>
          <w:lang w:val="es-VE" w:eastAsia="en-US"/>
        </w:rPr>
        <w:t>noviembre</w:t>
      </w:r>
      <w:r w:rsidRPr="00A27CA2">
        <w:rPr>
          <w:rFonts w:ascii="Cambria" w:eastAsia="Calibri" w:hAnsi="Cambria" w:cs="Times New Roman"/>
          <w:color w:val="auto"/>
          <w:sz w:val="20"/>
          <w:szCs w:val="20"/>
          <w:lang w:val="es-VE" w:eastAsia="en-US"/>
        </w:rPr>
        <w:t xml:space="preserve"> de </w:t>
      </w:r>
      <w:r w:rsidR="00476095" w:rsidRPr="00A27CA2">
        <w:rPr>
          <w:rFonts w:ascii="Cambria" w:eastAsia="Calibri" w:hAnsi="Cambria" w:cs="Times New Roman"/>
          <w:color w:val="auto"/>
          <w:sz w:val="20"/>
          <w:szCs w:val="20"/>
          <w:lang w:val="es-VE" w:eastAsia="en-US"/>
        </w:rPr>
        <w:t>2005,</w:t>
      </w:r>
      <w:r w:rsidRPr="00A27CA2">
        <w:rPr>
          <w:rFonts w:ascii="Cambria" w:eastAsia="Calibri" w:hAnsi="Cambria" w:cs="Times New Roman"/>
          <w:color w:val="auto"/>
          <w:sz w:val="20"/>
          <w:szCs w:val="20"/>
          <w:lang w:val="es-VE" w:eastAsia="en-US"/>
        </w:rPr>
        <w:t xml:space="preserve"> la Comisión Interamericana de Derechos Humanos (en adelante “la Comisión Interamericana”, “la Comisión” o “la CIDH”) recibió una petición presentada por </w:t>
      </w:r>
      <w:r w:rsidR="00476095" w:rsidRPr="00A27CA2">
        <w:rPr>
          <w:rFonts w:ascii="Cambria" w:eastAsia="Calibri" w:hAnsi="Cambria" w:cs="Times New Roman"/>
          <w:color w:val="auto"/>
          <w:sz w:val="20"/>
          <w:szCs w:val="20"/>
          <w:lang w:val="es-VE" w:eastAsia="en-US"/>
        </w:rPr>
        <w:t>parte de dos estudios jurídicos, Etcheberry/Rodríguez y Colombara Olmedo (en adelante “la parte peticionaria”)</w:t>
      </w:r>
      <w:r w:rsidR="00476095" w:rsidRPr="00A27CA2">
        <w:rPr>
          <w:rFonts w:eastAsia="Calibri" w:cs="Times New Roman"/>
          <w:color w:val="auto"/>
          <w:lang w:eastAsia="en-US"/>
        </w:rPr>
        <w:footnoteReference w:id="3"/>
      </w:r>
      <w:r w:rsidR="00476095" w:rsidRPr="00A27CA2">
        <w:rPr>
          <w:rFonts w:ascii="Cambria" w:eastAsia="Calibri" w:hAnsi="Cambria" w:cs="Times New Roman"/>
          <w:color w:val="auto"/>
          <w:sz w:val="20"/>
          <w:szCs w:val="20"/>
          <w:lang w:val="es-VE" w:eastAsia="en-US"/>
        </w:rPr>
        <w:t xml:space="preserve">; en comunicaciones de febrero de 2007 y diciembre de 2008, </w:t>
      </w:r>
      <w:r w:rsidR="00196076" w:rsidRPr="00A27CA2">
        <w:rPr>
          <w:rFonts w:ascii="Cambria" w:eastAsia="Calibri" w:hAnsi="Cambria" w:cs="Times New Roman"/>
          <w:color w:val="auto"/>
          <w:sz w:val="20"/>
          <w:szCs w:val="20"/>
          <w:lang w:val="es-VE" w:eastAsia="en-US"/>
        </w:rPr>
        <w:t>la parte peticionaria amplió</w:t>
      </w:r>
      <w:r w:rsidR="00476095" w:rsidRPr="00A27CA2">
        <w:rPr>
          <w:rFonts w:ascii="Cambria" w:eastAsia="Calibri" w:hAnsi="Cambria" w:cs="Times New Roman"/>
          <w:color w:val="auto"/>
          <w:sz w:val="20"/>
          <w:szCs w:val="20"/>
          <w:lang w:val="es-VE" w:eastAsia="en-US"/>
        </w:rPr>
        <w:t xml:space="preserve"> su denuncia. </w:t>
      </w:r>
      <w:r w:rsidR="00024EB0" w:rsidRPr="00A27CA2">
        <w:rPr>
          <w:rFonts w:ascii="Cambria" w:eastAsia="Calibri" w:hAnsi="Cambria" w:cs="Times New Roman"/>
          <w:color w:val="auto"/>
          <w:sz w:val="20"/>
          <w:szCs w:val="20"/>
          <w:lang w:val="es-VE" w:eastAsia="en-US"/>
        </w:rPr>
        <w:t>En dichas comunicaciones, la parte peticionaria</w:t>
      </w:r>
      <w:r w:rsidRPr="00A27CA2">
        <w:rPr>
          <w:rFonts w:ascii="Cambria" w:eastAsia="Calibri" w:hAnsi="Cambria" w:cs="Times New Roman"/>
          <w:color w:val="auto"/>
          <w:sz w:val="20"/>
          <w:szCs w:val="20"/>
          <w:lang w:val="es-VE" w:eastAsia="en-US"/>
        </w:rPr>
        <w:t xml:space="preserve"> alega la responsabilidad internacional de </w:t>
      </w:r>
      <w:r w:rsidR="00476095" w:rsidRPr="00A27CA2">
        <w:rPr>
          <w:rFonts w:ascii="Cambria" w:eastAsia="Calibri" w:hAnsi="Cambria" w:cs="Times New Roman"/>
          <w:color w:val="auto"/>
          <w:sz w:val="20"/>
          <w:szCs w:val="20"/>
          <w:lang w:val="es-VE" w:eastAsia="en-US"/>
        </w:rPr>
        <w:t>la República de Chile</w:t>
      </w:r>
      <w:r w:rsidRPr="00A27CA2">
        <w:rPr>
          <w:rFonts w:ascii="Cambria" w:eastAsia="Calibri" w:hAnsi="Cambria" w:cs="Times New Roman"/>
          <w:color w:val="auto"/>
          <w:sz w:val="20"/>
          <w:szCs w:val="20"/>
          <w:lang w:val="es-VE" w:eastAsia="en-US"/>
        </w:rPr>
        <w:t xml:space="preserve"> (en adelante “el Estado </w:t>
      </w:r>
      <w:r w:rsidR="00476095" w:rsidRPr="00A27CA2">
        <w:rPr>
          <w:rFonts w:ascii="Cambria" w:eastAsia="Calibri" w:hAnsi="Cambria" w:cs="Times New Roman"/>
          <w:color w:val="auto"/>
          <w:sz w:val="20"/>
          <w:szCs w:val="20"/>
          <w:lang w:val="es-VE" w:eastAsia="en-US"/>
        </w:rPr>
        <w:t>chileno</w:t>
      </w:r>
      <w:r w:rsidRPr="00A27CA2">
        <w:rPr>
          <w:rFonts w:ascii="Cambria" w:eastAsia="Calibri" w:hAnsi="Cambria" w:cs="Times New Roman"/>
          <w:color w:val="auto"/>
          <w:sz w:val="20"/>
          <w:szCs w:val="20"/>
          <w:lang w:val="es-VE" w:eastAsia="en-US"/>
        </w:rPr>
        <w:t>”, “el Estado” o “</w:t>
      </w:r>
      <w:r w:rsidR="00476095" w:rsidRPr="00A27CA2">
        <w:rPr>
          <w:rFonts w:ascii="Cambria" w:eastAsia="Calibri" w:hAnsi="Cambria" w:cs="Times New Roman"/>
          <w:color w:val="auto"/>
          <w:sz w:val="20"/>
          <w:szCs w:val="20"/>
          <w:lang w:val="es-VE" w:eastAsia="en-US"/>
        </w:rPr>
        <w:t>Chile</w:t>
      </w:r>
      <w:r w:rsidRPr="00A27CA2">
        <w:rPr>
          <w:rFonts w:ascii="Cambria" w:eastAsia="Calibri" w:hAnsi="Cambria" w:cs="Times New Roman"/>
          <w:color w:val="auto"/>
          <w:sz w:val="20"/>
          <w:szCs w:val="20"/>
          <w:lang w:val="es-VE" w:eastAsia="en-US"/>
        </w:rPr>
        <w:t xml:space="preserve">”) en perjuicio de </w:t>
      </w:r>
      <w:r w:rsidR="00476095" w:rsidRPr="00A27CA2">
        <w:rPr>
          <w:rFonts w:ascii="Cambria" w:eastAsia="Calibri" w:hAnsi="Cambria" w:cs="Times New Roman"/>
          <w:color w:val="auto"/>
          <w:sz w:val="20"/>
          <w:szCs w:val="20"/>
          <w:lang w:val="es-VE" w:eastAsia="en-US"/>
        </w:rPr>
        <w:t>8</w:t>
      </w:r>
      <w:r w:rsidR="005B7DF3" w:rsidRPr="00A27CA2">
        <w:rPr>
          <w:rFonts w:ascii="Cambria" w:eastAsia="Calibri" w:hAnsi="Cambria" w:cs="Times New Roman"/>
          <w:color w:val="auto"/>
          <w:sz w:val="20"/>
          <w:szCs w:val="20"/>
          <w:lang w:val="es-VE" w:eastAsia="en-US"/>
        </w:rPr>
        <w:t>0</w:t>
      </w:r>
      <w:r w:rsidR="00476095" w:rsidRPr="00A27CA2">
        <w:rPr>
          <w:rFonts w:ascii="Cambria" w:eastAsia="Calibri" w:hAnsi="Cambria" w:cs="Times New Roman"/>
          <w:color w:val="auto"/>
          <w:sz w:val="20"/>
          <w:szCs w:val="20"/>
          <w:lang w:val="es-VE" w:eastAsia="en-US"/>
        </w:rPr>
        <w:t xml:space="preserve"> profesores de la Municipalidad de Chañaral, 80 profesores de la Municipalidad de Chanco, 32 de la Municipalidad de Pell</w:t>
      </w:r>
      <w:r w:rsidR="008A221C" w:rsidRPr="00A27CA2">
        <w:rPr>
          <w:rFonts w:ascii="Cambria" w:eastAsia="Calibri" w:hAnsi="Cambria" w:cs="Times New Roman"/>
          <w:color w:val="auto"/>
          <w:sz w:val="20"/>
          <w:szCs w:val="20"/>
          <w:lang w:val="es-VE" w:eastAsia="en-US"/>
        </w:rPr>
        <w:t>u</w:t>
      </w:r>
      <w:r w:rsidR="00476095" w:rsidRPr="00A27CA2">
        <w:rPr>
          <w:rFonts w:ascii="Cambria" w:eastAsia="Calibri" w:hAnsi="Cambria" w:cs="Times New Roman"/>
          <w:color w:val="auto"/>
          <w:sz w:val="20"/>
          <w:szCs w:val="20"/>
          <w:lang w:val="es-VE" w:eastAsia="en-US"/>
        </w:rPr>
        <w:t>hue, 90 de la Municipalidad de Parral, 193 de la Municipalidad de Vallenar y 373 de la Municipalidad de Cauquenes, dando un total de 8</w:t>
      </w:r>
      <w:r w:rsidR="005B7DF3" w:rsidRPr="00A27CA2">
        <w:rPr>
          <w:rFonts w:ascii="Cambria" w:eastAsia="Calibri" w:hAnsi="Cambria" w:cs="Times New Roman"/>
          <w:color w:val="auto"/>
          <w:sz w:val="20"/>
          <w:szCs w:val="20"/>
          <w:lang w:val="es-VE" w:eastAsia="en-US"/>
        </w:rPr>
        <w:t>48</w:t>
      </w:r>
      <w:r w:rsidR="00476095" w:rsidRPr="00A27CA2">
        <w:rPr>
          <w:rFonts w:ascii="Cambria" w:eastAsia="Calibri" w:hAnsi="Cambria" w:cs="Times New Roman"/>
          <w:color w:val="auto"/>
          <w:sz w:val="20"/>
          <w:szCs w:val="20"/>
          <w:lang w:val="es-VE" w:eastAsia="en-US"/>
        </w:rPr>
        <w:t xml:space="preserve"> presuntas víctimas</w:t>
      </w:r>
      <w:r w:rsidR="00024EB0" w:rsidRPr="00A27CA2">
        <w:rPr>
          <w:rFonts w:ascii="Cambria" w:eastAsia="Calibri" w:hAnsi="Cambria" w:cs="Times New Roman"/>
          <w:color w:val="auto"/>
          <w:sz w:val="20"/>
          <w:szCs w:val="20"/>
          <w:lang w:val="es-VE" w:eastAsia="en-US"/>
        </w:rPr>
        <w:t xml:space="preserve">, quienes se encuentran individualizadas en </w:t>
      </w:r>
      <w:r w:rsidR="00ED1F09" w:rsidRPr="00A27CA2">
        <w:rPr>
          <w:rFonts w:ascii="Cambria" w:eastAsia="Calibri" w:hAnsi="Cambria" w:cs="Times New Roman"/>
          <w:color w:val="auto"/>
          <w:sz w:val="20"/>
          <w:szCs w:val="20"/>
          <w:lang w:val="es-VE" w:eastAsia="en-US"/>
        </w:rPr>
        <w:t>la lista anexo</w:t>
      </w:r>
      <w:r w:rsidR="00024EB0" w:rsidRPr="00A27CA2">
        <w:rPr>
          <w:rFonts w:ascii="Cambria" w:eastAsia="Calibri" w:hAnsi="Cambria" w:cs="Times New Roman"/>
          <w:color w:val="auto"/>
          <w:sz w:val="20"/>
          <w:szCs w:val="20"/>
          <w:lang w:val="es-VE" w:eastAsia="en-US"/>
        </w:rPr>
        <w:t xml:space="preserve"> a este informe</w:t>
      </w:r>
      <w:r w:rsidR="00ED6960" w:rsidRPr="00A27CA2">
        <w:rPr>
          <w:rFonts w:ascii="Cambria" w:eastAsia="Calibri" w:hAnsi="Cambria" w:cs="Times New Roman"/>
          <w:color w:val="auto"/>
          <w:sz w:val="20"/>
          <w:szCs w:val="20"/>
          <w:lang w:val="es-VE" w:eastAsia="en-US"/>
        </w:rPr>
        <w:t>. El caso se trata de la presunta responsabilidad del Estado por el incumplimiento de sentencias definitivas en las que se ordenó a los mencionados municipios a pagar a las presuntas víctimas determinados montos que se les debían por concepto de asignaciones de previsión social.</w:t>
      </w:r>
    </w:p>
    <w:p w14:paraId="7A4DB271" w14:textId="77777777" w:rsidR="00A27CA2" w:rsidRDefault="00A27CA2" w:rsidP="00A27CA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eastAsia="Calibri" w:hAnsi="Cambria" w:cs="Times New Roman"/>
          <w:color w:val="auto"/>
          <w:sz w:val="20"/>
          <w:szCs w:val="20"/>
          <w:lang w:val="es-VE" w:eastAsia="en-US"/>
        </w:rPr>
      </w:pPr>
    </w:p>
    <w:p w14:paraId="11C392F6" w14:textId="77777777" w:rsidR="009014A4" w:rsidRPr="00A27CA2" w:rsidRDefault="009014A4"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eastAsia="Calibri" w:hAnsi="Cambria" w:cs="Times New Roman"/>
          <w:color w:val="auto"/>
          <w:sz w:val="20"/>
          <w:szCs w:val="20"/>
          <w:lang w:val="es-VE" w:eastAsia="en-US"/>
        </w:rPr>
      </w:pPr>
      <w:r w:rsidRPr="00A27CA2">
        <w:rPr>
          <w:rFonts w:ascii="Cambria" w:hAnsi="Cambria"/>
          <w:sz w:val="20"/>
          <w:szCs w:val="20"/>
          <w:lang w:val="es-VE"/>
        </w:rPr>
        <w:t>L</w:t>
      </w:r>
      <w:r w:rsidRPr="00A27CA2">
        <w:rPr>
          <w:rFonts w:ascii="Cambria" w:hAnsi="Cambria"/>
          <w:sz w:val="20"/>
          <w:szCs w:val="20"/>
          <w:lang w:val="es-ES_tradnl"/>
        </w:rPr>
        <w:t xml:space="preserve">a Comisión aprobó el informe de admisibilidad No. </w:t>
      </w:r>
      <w:r w:rsidR="00476095" w:rsidRPr="00A27CA2">
        <w:rPr>
          <w:rFonts w:ascii="Cambria" w:hAnsi="Cambria"/>
          <w:sz w:val="20"/>
          <w:szCs w:val="20"/>
          <w:lang w:val="es-ES_tradnl"/>
        </w:rPr>
        <w:t>28</w:t>
      </w:r>
      <w:r w:rsidRPr="00A27CA2">
        <w:rPr>
          <w:rFonts w:ascii="Cambria" w:hAnsi="Cambria"/>
          <w:sz w:val="20"/>
          <w:szCs w:val="20"/>
          <w:lang w:val="es-ES_tradnl"/>
        </w:rPr>
        <w:t>/</w:t>
      </w:r>
      <w:r w:rsidR="00476095" w:rsidRPr="00A27CA2">
        <w:rPr>
          <w:rFonts w:ascii="Cambria" w:hAnsi="Cambria"/>
          <w:sz w:val="20"/>
          <w:szCs w:val="20"/>
          <w:lang w:val="es-ES_tradnl"/>
        </w:rPr>
        <w:t>13</w:t>
      </w:r>
      <w:r w:rsidRPr="00A27CA2">
        <w:rPr>
          <w:rFonts w:ascii="Cambria" w:hAnsi="Cambria"/>
          <w:sz w:val="20"/>
          <w:szCs w:val="20"/>
          <w:lang w:val="es-ES_tradnl"/>
        </w:rPr>
        <w:t xml:space="preserve"> el </w:t>
      </w:r>
      <w:r w:rsidR="00476095" w:rsidRPr="00A27CA2">
        <w:rPr>
          <w:rFonts w:ascii="Cambria" w:hAnsi="Cambria"/>
          <w:sz w:val="20"/>
          <w:szCs w:val="20"/>
          <w:lang w:val="es-ES_tradnl"/>
        </w:rPr>
        <w:t>20</w:t>
      </w:r>
      <w:r w:rsidRPr="00A27CA2">
        <w:rPr>
          <w:rFonts w:ascii="Cambria" w:hAnsi="Cambria"/>
          <w:sz w:val="20"/>
          <w:szCs w:val="20"/>
          <w:lang w:val="es-ES_tradnl"/>
        </w:rPr>
        <w:t xml:space="preserve"> de </w:t>
      </w:r>
      <w:r w:rsidR="00476095" w:rsidRPr="00A27CA2">
        <w:rPr>
          <w:rFonts w:ascii="Cambria" w:hAnsi="Cambria"/>
          <w:sz w:val="20"/>
          <w:szCs w:val="20"/>
          <w:lang w:val="es-ES_tradnl"/>
        </w:rPr>
        <w:t>marzo</w:t>
      </w:r>
      <w:r w:rsidRPr="00A27CA2">
        <w:rPr>
          <w:rFonts w:ascii="Cambria" w:hAnsi="Cambria"/>
          <w:sz w:val="20"/>
          <w:szCs w:val="20"/>
          <w:lang w:val="es-ES_tradnl"/>
        </w:rPr>
        <w:t xml:space="preserve"> de </w:t>
      </w:r>
      <w:r w:rsidR="00476095" w:rsidRPr="00A27CA2">
        <w:rPr>
          <w:rFonts w:ascii="Cambria" w:hAnsi="Cambria"/>
          <w:sz w:val="20"/>
          <w:szCs w:val="20"/>
          <w:lang w:val="es-ES_tradnl"/>
        </w:rPr>
        <w:t>2013</w:t>
      </w:r>
      <w:r w:rsidRPr="00ED1F09">
        <w:rPr>
          <w:rStyle w:val="FootnoteReference"/>
          <w:rFonts w:ascii="Cambria" w:hAnsi="Cambria"/>
          <w:sz w:val="20"/>
          <w:szCs w:val="20"/>
          <w:lang w:val="es-ES_tradnl"/>
        </w:rPr>
        <w:footnoteReference w:id="4"/>
      </w:r>
      <w:r w:rsidR="00AF7988" w:rsidRPr="00A27CA2">
        <w:rPr>
          <w:rFonts w:ascii="Cambria" w:hAnsi="Cambria"/>
          <w:sz w:val="20"/>
          <w:szCs w:val="20"/>
          <w:lang w:val="es-ES_tradnl"/>
        </w:rPr>
        <w:t xml:space="preserve">. </w:t>
      </w:r>
      <w:r w:rsidRPr="00A27CA2">
        <w:rPr>
          <w:rFonts w:ascii="Cambria" w:hAnsi="Cambria"/>
          <w:sz w:val="20"/>
          <w:szCs w:val="20"/>
          <w:lang w:val="es-ES_tradnl"/>
        </w:rPr>
        <w:t xml:space="preserve">El </w:t>
      </w:r>
      <w:r w:rsidR="00E359DA" w:rsidRPr="00A27CA2">
        <w:rPr>
          <w:rFonts w:ascii="Cambria" w:hAnsi="Cambria"/>
          <w:sz w:val="20"/>
          <w:szCs w:val="20"/>
          <w:lang w:val="es-ES_tradnl"/>
        </w:rPr>
        <w:t>13</w:t>
      </w:r>
      <w:r w:rsidRPr="00A27CA2">
        <w:rPr>
          <w:rFonts w:ascii="Cambria" w:hAnsi="Cambria"/>
          <w:sz w:val="20"/>
          <w:szCs w:val="20"/>
          <w:lang w:val="es-ES_tradnl"/>
        </w:rPr>
        <w:t xml:space="preserve"> de </w:t>
      </w:r>
      <w:r w:rsidR="00E359DA" w:rsidRPr="00A27CA2">
        <w:rPr>
          <w:rFonts w:ascii="Cambria" w:hAnsi="Cambria"/>
          <w:sz w:val="20"/>
          <w:szCs w:val="20"/>
          <w:lang w:val="es-ES_tradnl"/>
        </w:rPr>
        <w:t>abril</w:t>
      </w:r>
      <w:r w:rsidRPr="00A27CA2">
        <w:rPr>
          <w:rFonts w:ascii="Cambria" w:hAnsi="Cambria"/>
          <w:sz w:val="20"/>
          <w:szCs w:val="20"/>
          <w:lang w:val="es-ES_tradnl"/>
        </w:rPr>
        <w:t xml:space="preserve"> de </w:t>
      </w:r>
      <w:r w:rsidR="00E359DA" w:rsidRPr="00A27CA2">
        <w:rPr>
          <w:rFonts w:ascii="Cambria" w:hAnsi="Cambria"/>
          <w:sz w:val="20"/>
          <w:szCs w:val="20"/>
          <w:lang w:val="es-ES_tradnl"/>
        </w:rPr>
        <w:t>2013,</w:t>
      </w:r>
      <w:r w:rsidRPr="00A27CA2">
        <w:rPr>
          <w:rFonts w:ascii="Cambria" w:hAnsi="Cambria"/>
          <w:sz w:val="20"/>
          <w:szCs w:val="20"/>
          <w:lang w:val="es-ES_tradnl"/>
        </w:rPr>
        <w:t xml:space="preserve"> la Comisión notificó dicho informe a las partes y se puso a su disposición a fin de llegar a una solución amistosa</w:t>
      </w:r>
      <w:r w:rsidRPr="001265CE">
        <w:rPr>
          <w:rStyle w:val="FootnoteReference"/>
          <w:rFonts w:ascii="Cambria" w:hAnsi="Cambria"/>
          <w:sz w:val="20"/>
          <w:szCs w:val="20"/>
          <w:lang w:val="es-ES_tradnl"/>
        </w:rPr>
        <w:footnoteReference w:id="5"/>
      </w:r>
      <w:r w:rsidRPr="00A27CA2">
        <w:rPr>
          <w:rFonts w:ascii="Cambria" w:hAnsi="Cambria"/>
          <w:sz w:val="20"/>
          <w:szCs w:val="20"/>
          <w:lang w:val="es-ES_tradnl"/>
        </w:rPr>
        <w:t>. Las partes contaron con los plazos reglamentarios para presentar sus observaciones adicionales sobre el fondo.</w:t>
      </w:r>
      <w:r w:rsidR="008C3098" w:rsidRPr="00A27CA2">
        <w:rPr>
          <w:rFonts w:ascii="Cambria" w:hAnsi="Cambria"/>
          <w:sz w:val="20"/>
          <w:szCs w:val="20"/>
          <w:lang w:val="es-ES_tradnl"/>
        </w:rPr>
        <w:t xml:space="preserve"> </w:t>
      </w:r>
      <w:r w:rsidRPr="00A27CA2">
        <w:rPr>
          <w:rFonts w:ascii="Cambria" w:hAnsi="Cambria"/>
          <w:sz w:val="20"/>
          <w:szCs w:val="20"/>
          <w:lang w:val="es-ES_tradnl"/>
        </w:rPr>
        <w:t xml:space="preserve">Toda la información recibida fue debidamente trasladada entre las partes. </w:t>
      </w:r>
    </w:p>
    <w:p w14:paraId="16E9AF3A" w14:textId="77777777" w:rsidR="007C756A" w:rsidRPr="00E909AA" w:rsidRDefault="007C756A" w:rsidP="007C756A">
      <w:pPr>
        <w:pStyle w:val="ListParagraph"/>
        <w:suppressAutoHyphens/>
        <w:ind w:left="1080"/>
        <w:rPr>
          <w:rFonts w:asciiTheme="majorHAnsi" w:hAnsiTheme="majorHAnsi"/>
          <w:b/>
          <w:sz w:val="20"/>
          <w:szCs w:val="20"/>
          <w:lang w:val="es-ES_tradnl"/>
        </w:rPr>
      </w:pPr>
    </w:p>
    <w:p w14:paraId="1DF3FEF7" w14:textId="77777777" w:rsidR="00D12193" w:rsidRPr="00E909AA" w:rsidRDefault="00A27CA2" w:rsidP="00A27CA2">
      <w:pPr>
        <w:pStyle w:val="Heading1"/>
        <w:ind w:left="540" w:hanging="540"/>
      </w:pPr>
      <w:bookmarkStart w:id="3" w:name="_Toc532549541"/>
      <w:bookmarkStart w:id="4" w:name="_Toc5020334"/>
      <w:r>
        <w:t>POSICIONES</w:t>
      </w:r>
      <w:r w:rsidR="00D12193" w:rsidRPr="00E909AA">
        <w:t xml:space="preserve"> DE LAS PARTES</w:t>
      </w:r>
      <w:bookmarkEnd w:id="3"/>
      <w:bookmarkEnd w:id="4"/>
    </w:p>
    <w:p w14:paraId="34891ABB" w14:textId="77777777" w:rsidR="00D83D73" w:rsidRDefault="00D83D73" w:rsidP="00D83D73">
      <w:pPr>
        <w:pStyle w:val="ListParagraph"/>
        <w:suppressAutoHyphens/>
        <w:ind w:left="1440"/>
        <w:rPr>
          <w:rFonts w:asciiTheme="majorHAnsi" w:hAnsiTheme="majorHAnsi"/>
          <w:b/>
          <w:sz w:val="20"/>
          <w:szCs w:val="20"/>
          <w:lang w:val="es-ES_tradnl"/>
        </w:rPr>
      </w:pPr>
    </w:p>
    <w:p w14:paraId="0AD338FA" w14:textId="77777777" w:rsidR="00D12193" w:rsidRPr="00A27CA2" w:rsidRDefault="0022273F" w:rsidP="00A27CA2">
      <w:pPr>
        <w:pStyle w:val="Heading2"/>
        <w:keepN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s>
        <w:suppressAutoHyphens w:val="0"/>
        <w:ind w:left="0" w:firstLine="0"/>
        <w:jc w:val="both"/>
        <w:rPr>
          <w:rFonts w:ascii="Cambria" w:eastAsia="Times New Roman" w:hAnsi="Cambria" w:cs="Times New Roman"/>
          <w:color w:val="auto"/>
          <w:bdr w:val="none" w:sz="0" w:space="0" w:color="auto"/>
          <w:lang w:eastAsia="en-US"/>
        </w:rPr>
      </w:pPr>
      <w:bookmarkStart w:id="5" w:name="_Toc532549542"/>
      <w:bookmarkStart w:id="6" w:name="_Toc5020335"/>
      <w:r w:rsidRPr="00A27CA2">
        <w:rPr>
          <w:rFonts w:ascii="Cambria" w:eastAsia="Times New Roman" w:hAnsi="Cambria" w:cs="Times New Roman"/>
          <w:color w:val="auto"/>
          <w:bdr w:val="none" w:sz="0" w:space="0" w:color="auto"/>
          <w:lang w:eastAsia="en-US"/>
        </w:rPr>
        <w:t>Parte peticionaria</w:t>
      </w:r>
      <w:bookmarkEnd w:id="5"/>
      <w:bookmarkEnd w:id="6"/>
      <w:r w:rsidRPr="00A27CA2">
        <w:rPr>
          <w:rFonts w:ascii="Cambria" w:eastAsia="Times New Roman" w:hAnsi="Cambria" w:cs="Times New Roman"/>
          <w:color w:val="auto"/>
          <w:bdr w:val="none" w:sz="0" w:space="0" w:color="auto"/>
          <w:lang w:eastAsia="en-US"/>
        </w:rPr>
        <w:t xml:space="preserve"> </w:t>
      </w:r>
    </w:p>
    <w:p w14:paraId="643D7568" w14:textId="77777777" w:rsidR="00361415" w:rsidRDefault="00361415" w:rsidP="00361415">
      <w:pPr>
        <w:suppressAutoHyphens/>
        <w:rPr>
          <w:sz w:val="20"/>
          <w:szCs w:val="20"/>
          <w:lang w:val="es-ES_tradnl"/>
        </w:rPr>
      </w:pPr>
    </w:p>
    <w:p w14:paraId="24CE0587" w14:textId="77777777" w:rsidR="00A27CA2" w:rsidRDefault="00ED6960"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VE"/>
        </w:rPr>
      </w:pPr>
      <w:r w:rsidRPr="00A27CA2">
        <w:rPr>
          <w:rFonts w:ascii="Cambria" w:hAnsi="Cambria"/>
          <w:sz w:val="20"/>
          <w:szCs w:val="20"/>
          <w:lang w:val="es-VE"/>
        </w:rPr>
        <w:t>La parte peticionaria s</w:t>
      </w:r>
      <w:r w:rsidR="001B32C3" w:rsidRPr="00A27CA2">
        <w:rPr>
          <w:rFonts w:ascii="Cambria" w:hAnsi="Cambria"/>
          <w:sz w:val="20"/>
          <w:szCs w:val="20"/>
          <w:lang w:val="es-VE"/>
        </w:rPr>
        <w:t>eñal</w:t>
      </w:r>
      <w:r w:rsidRPr="00A27CA2">
        <w:rPr>
          <w:rFonts w:ascii="Cambria" w:hAnsi="Cambria"/>
          <w:sz w:val="20"/>
          <w:szCs w:val="20"/>
          <w:lang w:val="es-VE"/>
        </w:rPr>
        <w:t>a</w:t>
      </w:r>
      <w:r w:rsidR="00DF1902" w:rsidRPr="00A27CA2">
        <w:rPr>
          <w:rFonts w:ascii="Cambria" w:hAnsi="Cambria"/>
          <w:sz w:val="20"/>
          <w:szCs w:val="20"/>
          <w:lang w:val="es-VE"/>
        </w:rPr>
        <w:t xml:space="preserve"> que el caso se trata de la falta de ejecución de varias sentencias judiciales firmes dictad</w:t>
      </w:r>
      <w:r w:rsidR="001B32C3" w:rsidRPr="00A27CA2">
        <w:rPr>
          <w:rFonts w:ascii="Cambria" w:hAnsi="Cambria"/>
          <w:sz w:val="20"/>
          <w:szCs w:val="20"/>
          <w:lang w:val="es-VE"/>
        </w:rPr>
        <w:t>a</w:t>
      </w:r>
      <w:r w:rsidR="00DF1902" w:rsidRPr="00A27CA2">
        <w:rPr>
          <w:rFonts w:ascii="Cambria" w:hAnsi="Cambria"/>
          <w:sz w:val="20"/>
          <w:szCs w:val="20"/>
          <w:lang w:val="es-VE"/>
        </w:rPr>
        <w:t>s a favor de las 8</w:t>
      </w:r>
      <w:r w:rsidR="008176E5" w:rsidRPr="00A27CA2">
        <w:rPr>
          <w:rFonts w:ascii="Cambria" w:hAnsi="Cambria"/>
          <w:sz w:val="20"/>
          <w:szCs w:val="20"/>
          <w:lang w:val="es-VE"/>
        </w:rPr>
        <w:t>48</w:t>
      </w:r>
      <w:r w:rsidR="00DF1902" w:rsidRPr="00A27CA2">
        <w:rPr>
          <w:rFonts w:ascii="Cambria" w:hAnsi="Cambria"/>
          <w:sz w:val="20"/>
          <w:szCs w:val="20"/>
          <w:lang w:val="es-VE"/>
        </w:rPr>
        <w:t xml:space="preserve"> presuntas víctimas, las cuales reconocen que las municipalidades correspondientes debían pagar montos sustanciales a favor de ellas por concepto de asignaciones de previsión social. </w:t>
      </w:r>
      <w:r w:rsidRPr="00A27CA2">
        <w:rPr>
          <w:rFonts w:ascii="Cambria" w:hAnsi="Cambria"/>
          <w:sz w:val="20"/>
          <w:szCs w:val="20"/>
          <w:lang w:val="es-VE"/>
        </w:rPr>
        <w:t>En este sentido,</w:t>
      </w:r>
      <w:r w:rsidR="00DF1902" w:rsidRPr="00A27CA2">
        <w:rPr>
          <w:rFonts w:ascii="Cambria" w:hAnsi="Cambria"/>
          <w:sz w:val="20"/>
          <w:szCs w:val="20"/>
          <w:lang w:val="es-VE"/>
        </w:rPr>
        <w:t xml:space="preserve"> “salvo ciertos pagos parciales, las sentencias siguen </w:t>
      </w:r>
      <w:r w:rsidR="004A4F36" w:rsidRPr="00A27CA2">
        <w:rPr>
          <w:rFonts w:ascii="Cambria" w:hAnsi="Cambria"/>
          <w:sz w:val="20"/>
          <w:szCs w:val="20"/>
          <w:lang w:val="es-VE"/>
        </w:rPr>
        <w:t xml:space="preserve">sin </w:t>
      </w:r>
      <w:r w:rsidR="00DF1902" w:rsidRPr="00A27CA2">
        <w:rPr>
          <w:rFonts w:ascii="Cambria" w:hAnsi="Cambria"/>
          <w:sz w:val="20"/>
          <w:szCs w:val="20"/>
          <w:lang w:val="es-VE"/>
        </w:rPr>
        <w:t>ejecutarse hasta el momento”.</w:t>
      </w:r>
    </w:p>
    <w:p w14:paraId="0EB6D15B" w14:textId="77777777" w:rsidR="00A27CA2" w:rsidRDefault="00A27CA2" w:rsidP="00A27CA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VE"/>
        </w:rPr>
      </w:pPr>
    </w:p>
    <w:p w14:paraId="168A4436" w14:textId="77777777" w:rsidR="00A27CA2" w:rsidRDefault="00DF1902"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VE"/>
        </w:rPr>
      </w:pPr>
      <w:r w:rsidRPr="00A27CA2">
        <w:rPr>
          <w:rFonts w:ascii="Cambria" w:hAnsi="Cambria"/>
          <w:color w:val="auto"/>
          <w:sz w:val="20"/>
          <w:szCs w:val="20"/>
        </w:rPr>
        <w:t>En particular, s</w:t>
      </w:r>
      <w:r w:rsidR="00ED6960" w:rsidRPr="00A27CA2">
        <w:rPr>
          <w:rFonts w:ascii="Cambria" w:hAnsi="Cambria"/>
          <w:color w:val="auto"/>
          <w:sz w:val="20"/>
          <w:szCs w:val="20"/>
        </w:rPr>
        <w:t>eñala</w:t>
      </w:r>
      <w:r w:rsidR="00C7291F" w:rsidRPr="00A27CA2">
        <w:rPr>
          <w:rFonts w:ascii="Cambria" w:hAnsi="Cambria"/>
          <w:color w:val="auto"/>
          <w:sz w:val="20"/>
          <w:szCs w:val="20"/>
        </w:rPr>
        <w:t xml:space="preserve"> que</w:t>
      </w:r>
      <w:r w:rsidR="00045156" w:rsidRPr="00A27CA2">
        <w:rPr>
          <w:rFonts w:ascii="Cambria" w:hAnsi="Cambria"/>
          <w:color w:val="auto"/>
          <w:sz w:val="20"/>
          <w:szCs w:val="20"/>
        </w:rPr>
        <w:t xml:space="preserve"> </w:t>
      </w:r>
      <w:r w:rsidR="00045156" w:rsidRPr="00A27CA2">
        <w:rPr>
          <w:rFonts w:ascii="Cambria" w:hAnsi="Cambria"/>
          <w:color w:val="auto"/>
          <w:sz w:val="20"/>
          <w:szCs w:val="20"/>
          <w:lang w:val="es-MX"/>
        </w:rPr>
        <w:t xml:space="preserve">con base en dos decretos con fuerza de ley de 1979 y 1980, el Estado </w:t>
      </w:r>
      <w:r w:rsidR="00301D87" w:rsidRPr="00A27CA2">
        <w:rPr>
          <w:rFonts w:ascii="Cambria" w:hAnsi="Cambria"/>
          <w:color w:val="auto"/>
          <w:sz w:val="20"/>
          <w:szCs w:val="20"/>
          <w:lang w:val="es-MX"/>
        </w:rPr>
        <w:t>traspasó</w:t>
      </w:r>
      <w:r w:rsidR="0060086D" w:rsidRPr="00A27CA2">
        <w:rPr>
          <w:rFonts w:ascii="Cambria" w:hAnsi="Cambria"/>
          <w:color w:val="auto"/>
          <w:sz w:val="20"/>
          <w:szCs w:val="20"/>
          <w:lang w:val="es-MX"/>
        </w:rPr>
        <w:t xml:space="preserve"> al s</w:t>
      </w:r>
      <w:r w:rsidR="00045156" w:rsidRPr="00A27CA2">
        <w:rPr>
          <w:rFonts w:ascii="Cambria" w:hAnsi="Cambria"/>
          <w:color w:val="auto"/>
          <w:sz w:val="20"/>
          <w:szCs w:val="20"/>
          <w:lang w:val="es-MX"/>
        </w:rPr>
        <w:t xml:space="preserve">ector </w:t>
      </w:r>
      <w:r w:rsidR="0060086D" w:rsidRPr="00A27CA2">
        <w:rPr>
          <w:rFonts w:ascii="Cambria" w:hAnsi="Cambria"/>
          <w:color w:val="auto"/>
          <w:sz w:val="20"/>
          <w:szCs w:val="20"/>
          <w:lang w:val="es-MX"/>
        </w:rPr>
        <w:t>m</w:t>
      </w:r>
      <w:r w:rsidR="00045156" w:rsidRPr="00A27CA2">
        <w:rPr>
          <w:rFonts w:ascii="Cambria" w:hAnsi="Cambria"/>
          <w:color w:val="auto"/>
          <w:sz w:val="20"/>
          <w:szCs w:val="20"/>
          <w:lang w:val="es-MX"/>
        </w:rPr>
        <w:t xml:space="preserve">unicipal a los docentes </w:t>
      </w:r>
      <w:r w:rsidR="0060086D" w:rsidRPr="00A27CA2">
        <w:rPr>
          <w:rFonts w:ascii="Cambria" w:hAnsi="Cambria"/>
          <w:color w:val="auto"/>
          <w:sz w:val="20"/>
          <w:szCs w:val="20"/>
          <w:lang w:val="es-MX"/>
        </w:rPr>
        <w:t>anteriormente adscritos a</w:t>
      </w:r>
      <w:r w:rsidR="00045156" w:rsidRPr="00A27CA2">
        <w:rPr>
          <w:rFonts w:ascii="Cambria" w:hAnsi="Cambria"/>
          <w:color w:val="auto"/>
          <w:sz w:val="20"/>
          <w:szCs w:val="20"/>
          <w:lang w:val="es-MX"/>
        </w:rPr>
        <w:t xml:space="preserve">l </w:t>
      </w:r>
      <w:r w:rsidR="00301D87" w:rsidRPr="00A27CA2">
        <w:rPr>
          <w:rFonts w:ascii="Cambria" w:hAnsi="Cambria"/>
          <w:color w:val="auto"/>
          <w:sz w:val="20"/>
          <w:szCs w:val="20"/>
          <w:lang w:val="es-MX"/>
        </w:rPr>
        <w:t>Ministerio de Educación</w:t>
      </w:r>
      <w:r w:rsidR="0060086D" w:rsidRPr="00A27CA2">
        <w:rPr>
          <w:rFonts w:ascii="Cambria" w:hAnsi="Cambria"/>
          <w:color w:val="auto"/>
          <w:sz w:val="20"/>
          <w:szCs w:val="20"/>
          <w:lang w:val="es-MX"/>
        </w:rPr>
        <w:t xml:space="preserve">, de acuerdo con los </w:t>
      </w:r>
      <w:r w:rsidR="0060086D" w:rsidRPr="00A27CA2">
        <w:rPr>
          <w:rFonts w:ascii="Cambria" w:hAnsi="Cambria"/>
          <w:color w:val="auto"/>
          <w:sz w:val="20"/>
          <w:szCs w:val="20"/>
        </w:rPr>
        <w:t>principios de descentralización y privatización del gobierno militar de la época</w:t>
      </w:r>
      <w:r w:rsidR="00045156" w:rsidRPr="00A27CA2">
        <w:rPr>
          <w:rFonts w:ascii="Cambria" w:hAnsi="Cambria"/>
          <w:color w:val="auto"/>
          <w:sz w:val="20"/>
          <w:szCs w:val="20"/>
          <w:lang w:val="es-MX"/>
        </w:rPr>
        <w:t>.</w:t>
      </w:r>
      <w:r w:rsidR="00301D87" w:rsidRPr="00A27CA2">
        <w:rPr>
          <w:rFonts w:ascii="Cambria" w:hAnsi="Cambria"/>
          <w:color w:val="auto"/>
          <w:sz w:val="20"/>
          <w:szCs w:val="20"/>
        </w:rPr>
        <w:t xml:space="preserve"> </w:t>
      </w:r>
      <w:r w:rsidR="004D24FB" w:rsidRPr="00A27CA2">
        <w:rPr>
          <w:rFonts w:ascii="Cambria" w:hAnsi="Cambria"/>
          <w:color w:val="auto"/>
          <w:sz w:val="20"/>
          <w:szCs w:val="20"/>
        </w:rPr>
        <w:t>Indica que l</w:t>
      </w:r>
      <w:r w:rsidR="00045156" w:rsidRPr="00A27CA2">
        <w:rPr>
          <w:rFonts w:ascii="Cambria" w:hAnsi="Cambria"/>
          <w:color w:val="auto"/>
          <w:sz w:val="20"/>
          <w:szCs w:val="20"/>
        </w:rPr>
        <w:t xml:space="preserve">a medida fue una decisión política del </w:t>
      </w:r>
      <w:r w:rsidR="0060086D" w:rsidRPr="00A27CA2">
        <w:rPr>
          <w:rFonts w:ascii="Cambria" w:hAnsi="Cambria"/>
          <w:color w:val="auto"/>
          <w:sz w:val="20"/>
          <w:szCs w:val="20"/>
        </w:rPr>
        <w:t>g</w:t>
      </w:r>
      <w:r w:rsidR="00045156" w:rsidRPr="00A27CA2">
        <w:rPr>
          <w:rFonts w:ascii="Cambria" w:hAnsi="Cambria"/>
          <w:color w:val="auto"/>
          <w:sz w:val="20"/>
          <w:szCs w:val="20"/>
        </w:rPr>
        <w:t xml:space="preserve">obierno </w:t>
      </w:r>
      <w:r w:rsidR="0060086D" w:rsidRPr="00A27CA2">
        <w:rPr>
          <w:rFonts w:ascii="Cambria" w:hAnsi="Cambria"/>
          <w:color w:val="auto"/>
          <w:sz w:val="20"/>
          <w:szCs w:val="20"/>
        </w:rPr>
        <w:t>m</w:t>
      </w:r>
      <w:r w:rsidR="00045156" w:rsidRPr="00A27CA2">
        <w:rPr>
          <w:rFonts w:ascii="Cambria" w:hAnsi="Cambria"/>
          <w:color w:val="auto"/>
          <w:sz w:val="20"/>
          <w:szCs w:val="20"/>
        </w:rPr>
        <w:t>ilitar</w:t>
      </w:r>
      <w:r w:rsidR="00ED6960" w:rsidRPr="00A27CA2">
        <w:rPr>
          <w:rFonts w:ascii="Cambria" w:hAnsi="Cambria"/>
          <w:color w:val="auto"/>
          <w:sz w:val="20"/>
          <w:szCs w:val="20"/>
        </w:rPr>
        <w:t>, por lo</w:t>
      </w:r>
      <w:r w:rsidR="00301D87" w:rsidRPr="00A27CA2">
        <w:rPr>
          <w:rFonts w:ascii="Cambria" w:hAnsi="Cambria"/>
          <w:color w:val="auto"/>
          <w:sz w:val="20"/>
          <w:szCs w:val="20"/>
        </w:rPr>
        <w:t xml:space="preserve"> que las </w:t>
      </w:r>
      <w:r w:rsidR="00045156" w:rsidRPr="00A27CA2">
        <w:rPr>
          <w:rFonts w:ascii="Cambria" w:hAnsi="Cambria"/>
          <w:color w:val="auto"/>
          <w:sz w:val="20"/>
          <w:szCs w:val="20"/>
          <w:lang w:val="es-MX"/>
        </w:rPr>
        <w:t>disposiciones que regularon el proceso se hicieron imperativas y no voluntarias para los profesores y los municipios</w:t>
      </w:r>
      <w:r w:rsidR="0060086D" w:rsidRPr="00A27CA2">
        <w:rPr>
          <w:rFonts w:ascii="Cambria" w:hAnsi="Cambria"/>
          <w:color w:val="auto"/>
          <w:sz w:val="20"/>
          <w:szCs w:val="20"/>
          <w:lang w:val="es-MX"/>
        </w:rPr>
        <w:t>, “no existiendo a esa época ningún mecanismo para objetar o impedir el proceso iniciado, ni siquiera el de la movilización social y el reclamo público”</w:t>
      </w:r>
      <w:r w:rsidR="00045156" w:rsidRPr="00A27CA2">
        <w:rPr>
          <w:rFonts w:ascii="Cambria" w:hAnsi="Cambria"/>
          <w:color w:val="auto"/>
          <w:sz w:val="20"/>
          <w:szCs w:val="20"/>
          <w:lang w:val="es-MX"/>
        </w:rPr>
        <w:t xml:space="preserve">. </w:t>
      </w:r>
    </w:p>
    <w:p w14:paraId="51678F47" w14:textId="77777777" w:rsidR="00A27CA2" w:rsidRPr="00A27CA2" w:rsidRDefault="00A27CA2" w:rsidP="00A27CA2">
      <w:pPr>
        <w:pStyle w:val="ListParagraph"/>
        <w:rPr>
          <w:color w:val="auto"/>
          <w:sz w:val="20"/>
          <w:szCs w:val="20"/>
          <w:lang w:val="es-VE"/>
        </w:rPr>
      </w:pPr>
    </w:p>
    <w:p w14:paraId="0CF07176" w14:textId="77777777" w:rsidR="00A27CA2" w:rsidRDefault="00ED6960"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VE"/>
        </w:rPr>
      </w:pPr>
      <w:r w:rsidRPr="00A27CA2">
        <w:rPr>
          <w:rFonts w:ascii="Cambria" w:hAnsi="Cambria"/>
          <w:color w:val="auto"/>
          <w:sz w:val="20"/>
          <w:szCs w:val="20"/>
        </w:rPr>
        <w:t>Alega</w:t>
      </w:r>
      <w:r w:rsidR="0060086D" w:rsidRPr="00A27CA2">
        <w:rPr>
          <w:rFonts w:ascii="Cambria" w:hAnsi="Cambria"/>
          <w:color w:val="auto"/>
          <w:sz w:val="20"/>
          <w:szCs w:val="20"/>
        </w:rPr>
        <w:t xml:space="preserve"> que como consecuencia de la municipalización de la educación pública, los docentes dejaron de percibir </w:t>
      </w:r>
      <w:r w:rsidR="00045156" w:rsidRPr="00A27CA2">
        <w:rPr>
          <w:rFonts w:ascii="Cambria" w:hAnsi="Cambria"/>
          <w:color w:val="auto"/>
          <w:sz w:val="20"/>
          <w:szCs w:val="20"/>
          <w:lang w:val="es-MX"/>
        </w:rPr>
        <w:t>asignaciones previsionales</w:t>
      </w:r>
      <w:r w:rsidR="0060086D" w:rsidRPr="00A27CA2">
        <w:rPr>
          <w:rFonts w:ascii="Cambria" w:hAnsi="Cambria"/>
          <w:color w:val="auto"/>
          <w:sz w:val="20"/>
          <w:szCs w:val="20"/>
          <w:lang w:val="es-MX"/>
        </w:rPr>
        <w:t xml:space="preserve"> para servidores públicos previstas en otro Decreto Ley de 1981, pues su pago fue </w:t>
      </w:r>
      <w:r w:rsidR="00045156" w:rsidRPr="00A27CA2">
        <w:rPr>
          <w:rFonts w:ascii="Cambria" w:hAnsi="Cambria"/>
          <w:color w:val="auto"/>
          <w:sz w:val="20"/>
          <w:szCs w:val="20"/>
          <w:lang w:val="es-MX"/>
        </w:rPr>
        <w:t>suspendido unilateralmente por los munic</w:t>
      </w:r>
      <w:r w:rsidR="0060086D" w:rsidRPr="00A27CA2">
        <w:rPr>
          <w:rFonts w:ascii="Cambria" w:hAnsi="Cambria"/>
          <w:color w:val="auto"/>
          <w:sz w:val="20"/>
          <w:szCs w:val="20"/>
          <w:lang w:val="es-MX"/>
        </w:rPr>
        <w:t xml:space="preserve">ipios. </w:t>
      </w:r>
      <w:r w:rsidRPr="00A27CA2">
        <w:rPr>
          <w:rFonts w:ascii="Cambria" w:hAnsi="Cambria"/>
          <w:color w:val="auto"/>
          <w:sz w:val="20"/>
          <w:szCs w:val="20"/>
          <w:lang w:val="es-MX"/>
        </w:rPr>
        <w:t>E</w:t>
      </w:r>
      <w:r w:rsidR="0060086D" w:rsidRPr="00A27CA2">
        <w:rPr>
          <w:rFonts w:ascii="Cambria" w:hAnsi="Cambria"/>
          <w:color w:val="auto"/>
          <w:sz w:val="20"/>
          <w:szCs w:val="20"/>
          <w:lang w:val="es-MX"/>
        </w:rPr>
        <w:t xml:space="preserve">n consecuencia, una vez restablecida la democracia en el país, las presuntas víctimas </w:t>
      </w:r>
      <w:r w:rsidRPr="00A27CA2">
        <w:rPr>
          <w:rFonts w:ascii="Cambria" w:hAnsi="Cambria"/>
          <w:color w:val="auto"/>
          <w:sz w:val="20"/>
          <w:szCs w:val="20"/>
          <w:lang w:val="es-MX"/>
        </w:rPr>
        <w:t xml:space="preserve">de este caso </w:t>
      </w:r>
      <w:r w:rsidR="0060086D" w:rsidRPr="00A27CA2">
        <w:rPr>
          <w:rFonts w:ascii="Cambria" w:hAnsi="Cambria"/>
          <w:color w:val="auto"/>
          <w:sz w:val="20"/>
          <w:szCs w:val="20"/>
          <w:lang w:val="es-MX"/>
        </w:rPr>
        <w:t xml:space="preserve">presentaron </w:t>
      </w:r>
      <w:r w:rsidRPr="00A27CA2">
        <w:rPr>
          <w:rFonts w:ascii="Cambria" w:hAnsi="Cambria"/>
          <w:color w:val="auto"/>
          <w:sz w:val="20"/>
          <w:szCs w:val="20"/>
          <w:lang w:val="es-MX"/>
        </w:rPr>
        <w:t>un total de</w:t>
      </w:r>
      <w:r w:rsidR="0060086D" w:rsidRPr="00A27CA2">
        <w:rPr>
          <w:rFonts w:ascii="Cambria" w:hAnsi="Cambria"/>
          <w:color w:val="auto"/>
          <w:sz w:val="20"/>
          <w:szCs w:val="20"/>
          <w:lang w:val="es-MX"/>
        </w:rPr>
        <w:t xml:space="preserve"> </w:t>
      </w:r>
      <w:r w:rsidR="0089796E" w:rsidRPr="00A27CA2">
        <w:rPr>
          <w:rFonts w:ascii="Cambria" w:hAnsi="Cambria"/>
          <w:color w:val="auto"/>
          <w:sz w:val="20"/>
          <w:szCs w:val="20"/>
          <w:lang w:val="es-MX"/>
        </w:rPr>
        <w:t>13</w:t>
      </w:r>
      <w:r w:rsidR="0060086D" w:rsidRPr="00A27CA2">
        <w:rPr>
          <w:rFonts w:ascii="Cambria" w:hAnsi="Cambria"/>
          <w:color w:val="auto"/>
          <w:sz w:val="20"/>
          <w:szCs w:val="20"/>
          <w:lang w:val="es-MX"/>
        </w:rPr>
        <w:t xml:space="preserve"> demandas ante los tribunales del país</w:t>
      </w:r>
      <w:r w:rsidR="00F95B5F" w:rsidRPr="00A27CA2">
        <w:rPr>
          <w:rFonts w:ascii="Cambria" w:hAnsi="Cambria"/>
          <w:color w:val="auto"/>
          <w:sz w:val="20"/>
          <w:szCs w:val="20"/>
          <w:lang w:val="es-MX"/>
        </w:rPr>
        <w:t xml:space="preserve"> en contra de las Municipalidades </w:t>
      </w:r>
      <w:r w:rsidR="00F95B5F" w:rsidRPr="00A27CA2">
        <w:rPr>
          <w:rFonts w:ascii="Cambria" w:hAnsi="Cambria"/>
          <w:color w:val="auto"/>
          <w:sz w:val="20"/>
          <w:szCs w:val="20"/>
        </w:rPr>
        <w:t xml:space="preserve">de Chañaral, </w:t>
      </w:r>
      <w:r w:rsidR="00F95B5F" w:rsidRPr="00A27CA2">
        <w:rPr>
          <w:rFonts w:ascii="Cambria" w:hAnsi="Cambria"/>
          <w:color w:val="auto"/>
          <w:sz w:val="20"/>
          <w:szCs w:val="20"/>
          <w:lang w:val="es-MX"/>
        </w:rPr>
        <w:t>Chanco, Pelluhue, Parral, Vallenar y Cauquenes</w:t>
      </w:r>
      <w:r w:rsidR="005875FC" w:rsidRPr="00A27CA2">
        <w:rPr>
          <w:rFonts w:ascii="Cambria" w:hAnsi="Cambria"/>
          <w:color w:val="auto"/>
          <w:sz w:val="20"/>
          <w:szCs w:val="20"/>
          <w:lang w:val="es-MX"/>
        </w:rPr>
        <w:t xml:space="preserve"> entre 1992 y 1994</w:t>
      </w:r>
      <w:r w:rsidR="0060086D" w:rsidRPr="00A27CA2">
        <w:rPr>
          <w:rFonts w:ascii="Cambria" w:hAnsi="Cambria"/>
          <w:color w:val="auto"/>
          <w:sz w:val="20"/>
          <w:szCs w:val="20"/>
          <w:lang w:val="es-MX"/>
        </w:rPr>
        <w:t xml:space="preserve"> para el pago de estas asignaciones previsionales</w:t>
      </w:r>
      <w:r w:rsidR="005875FC" w:rsidRPr="00A27CA2">
        <w:rPr>
          <w:rFonts w:ascii="Cambria" w:hAnsi="Cambria"/>
          <w:color w:val="auto"/>
          <w:sz w:val="20"/>
          <w:szCs w:val="20"/>
          <w:lang w:val="es-MX"/>
        </w:rPr>
        <w:t>, las cuales fueron resueltas a su favor entre 1993 y 1997</w:t>
      </w:r>
      <w:r w:rsidR="0060086D" w:rsidRPr="00A27CA2">
        <w:rPr>
          <w:rFonts w:ascii="Cambria" w:hAnsi="Cambria"/>
          <w:color w:val="auto"/>
          <w:sz w:val="20"/>
          <w:szCs w:val="20"/>
          <w:lang w:val="es-MX"/>
        </w:rPr>
        <w:t>.</w:t>
      </w:r>
      <w:r w:rsidR="00F95B5F" w:rsidRPr="00A27CA2">
        <w:rPr>
          <w:rFonts w:ascii="Cambria" w:hAnsi="Cambria"/>
          <w:color w:val="auto"/>
          <w:sz w:val="20"/>
          <w:szCs w:val="20"/>
          <w:lang w:val="es-MX"/>
        </w:rPr>
        <w:t xml:space="preserve"> </w:t>
      </w:r>
      <w:r w:rsidRPr="00A27CA2">
        <w:rPr>
          <w:rFonts w:ascii="Cambria" w:hAnsi="Cambria"/>
          <w:color w:val="auto"/>
          <w:sz w:val="20"/>
          <w:szCs w:val="20"/>
          <w:lang w:val="es-MX"/>
        </w:rPr>
        <w:t>Indica</w:t>
      </w:r>
      <w:r w:rsidR="00DF1902" w:rsidRPr="00A27CA2">
        <w:rPr>
          <w:rFonts w:ascii="Cambria" w:hAnsi="Cambria"/>
          <w:color w:val="auto"/>
          <w:sz w:val="20"/>
          <w:szCs w:val="20"/>
          <w:lang w:val="es-MX"/>
        </w:rPr>
        <w:t xml:space="preserve"> que hasta la fecha, se ha pagado solo parte del monto total adjudicado en los procesos de Chañaral y Vallenar. </w:t>
      </w:r>
    </w:p>
    <w:p w14:paraId="7F3D6719" w14:textId="77777777" w:rsidR="00A27CA2" w:rsidRPr="00A27CA2" w:rsidRDefault="00A27CA2" w:rsidP="00A27CA2">
      <w:pPr>
        <w:pStyle w:val="ListParagraph"/>
        <w:rPr>
          <w:sz w:val="20"/>
          <w:szCs w:val="20"/>
          <w:lang w:val="es-VE"/>
        </w:rPr>
      </w:pPr>
    </w:p>
    <w:p w14:paraId="71A922DD" w14:textId="77777777" w:rsidR="00A27CA2" w:rsidRDefault="00307D43"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VE"/>
        </w:rPr>
      </w:pPr>
      <w:r w:rsidRPr="00A27CA2">
        <w:rPr>
          <w:rFonts w:ascii="Cambria" w:hAnsi="Cambria"/>
          <w:sz w:val="20"/>
          <w:szCs w:val="20"/>
        </w:rPr>
        <w:t>Señal</w:t>
      </w:r>
      <w:r w:rsidR="00ED6960" w:rsidRPr="00A27CA2">
        <w:rPr>
          <w:rFonts w:ascii="Cambria" w:hAnsi="Cambria"/>
          <w:sz w:val="20"/>
          <w:szCs w:val="20"/>
        </w:rPr>
        <w:t>a</w:t>
      </w:r>
      <w:r w:rsidRPr="00A27CA2">
        <w:rPr>
          <w:rFonts w:ascii="Cambria" w:hAnsi="Cambria"/>
          <w:sz w:val="20"/>
          <w:szCs w:val="20"/>
        </w:rPr>
        <w:t xml:space="preserve"> que el presente caso se trata de un grupo de personas en especial situación de vulnerabilidad por su condición de </w:t>
      </w:r>
      <w:r w:rsidRPr="00A27CA2">
        <w:rPr>
          <w:rFonts w:ascii="Cambria" w:hAnsi="Cambria"/>
          <w:b/>
          <w:sz w:val="20"/>
          <w:szCs w:val="20"/>
        </w:rPr>
        <w:t>personas mayores</w:t>
      </w:r>
      <w:r w:rsidRPr="00A27CA2">
        <w:rPr>
          <w:rFonts w:ascii="Cambria" w:hAnsi="Cambria"/>
          <w:sz w:val="20"/>
          <w:szCs w:val="20"/>
        </w:rPr>
        <w:t xml:space="preserve">, y que se enmarca además en un contexto histórico de precariedad económica del profesorado del país. </w:t>
      </w:r>
      <w:r w:rsidR="00ED6960" w:rsidRPr="00A27CA2">
        <w:rPr>
          <w:rFonts w:ascii="Cambria" w:hAnsi="Cambria"/>
          <w:sz w:val="20"/>
          <w:szCs w:val="20"/>
        </w:rPr>
        <w:t>U</w:t>
      </w:r>
      <w:r w:rsidR="007A7C28" w:rsidRPr="00A27CA2">
        <w:rPr>
          <w:rFonts w:ascii="Cambria" w:hAnsi="Cambria"/>
          <w:color w:val="auto"/>
          <w:sz w:val="20"/>
          <w:szCs w:val="20"/>
        </w:rPr>
        <w:t xml:space="preserve">n </w:t>
      </w:r>
      <w:r w:rsidR="00ED6960" w:rsidRPr="00A27CA2">
        <w:rPr>
          <w:rFonts w:ascii="Cambria" w:hAnsi="Cambria"/>
          <w:color w:val="auto"/>
          <w:sz w:val="20"/>
          <w:szCs w:val="20"/>
        </w:rPr>
        <w:t>“</w:t>
      </w:r>
      <w:r w:rsidR="007A7C28" w:rsidRPr="00A27CA2">
        <w:rPr>
          <w:rFonts w:ascii="Cambria" w:hAnsi="Cambria"/>
          <w:color w:val="auto"/>
          <w:sz w:val="20"/>
          <w:szCs w:val="20"/>
        </w:rPr>
        <w:t>gran número</w:t>
      </w:r>
      <w:r w:rsidRPr="00A27CA2">
        <w:rPr>
          <w:rFonts w:ascii="Cambria" w:hAnsi="Cambria"/>
          <w:sz w:val="20"/>
          <w:szCs w:val="20"/>
        </w:rPr>
        <w:t>” de las presuntas víctimas ya</w:t>
      </w:r>
      <w:r w:rsidR="007A7C28" w:rsidRPr="00A27CA2">
        <w:rPr>
          <w:rFonts w:ascii="Cambria" w:hAnsi="Cambria"/>
          <w:color w:val="auto"/>
          <w:sz w:val="20"/>
          <w:szCs w:val="20"/>
        </w:rPr>
        <w:t xml:space="preserve"> han fallecido, y </w:t>
      </w:r>
      <w:r w:rsidRPr="00A27CA2">
        <w:rPr>
          <w:rFonts w:ascii="Cambria" w:hAnsi="Cambria"/>
          <w:sz w:val="20"/>
          <w:szCs w:val="20"/>
        </w:rPr>
        <w:t xml:space="preserve">las otras </w:t>
      </w:r>
      <w:r w:rsidR="007A7C28" w:rsidRPr="00A27CA2">
        <w:rPr>
          <w:rFonts w:ascii="Cambria" w:hAnsi="Cambria"/>
          <w:color w:val="auto"/>
          <w:sz w:val="20"/>
          <w:szCs w:val="20"/>
        </w:rPr>
        <w:t xml:space="preserve">viven en una “precaria situación socio-económica”, la cual se relaciona directamente con la </w:t>
      </w:r>
      <w:r w:rsidRPr="00A27CA2">
        <w:rPr>
          <w:rFonts w:ascii="Cambria" w:hAnsi="Cambria"/>
          <w:sz w:val="20"/>
          <w:szCs w:val="20"/>
        </w:rPr>
        <w:t>in</w:t>
      </w:r>
      <w:r w:rsidR="007A7C28" w:rsidRPr="00A27CA2">
        <w:rPr>
          <w:rFonts w:ascii="Cambria" w:hAnsi="Cambria"/>
          <w:color w:val="auto"/>
          <w:sz w:val="20"/>
          <w:szCs w:val="20"/>
        </w:rPr>
        <w:t>ejecución de las sentencias</w:t>
      </w:r>
      <w:r w:rsidR="008176E5">
        <w:rPr>
          <w:rStyle w:val="FootnoteReference"/>
          <w:rFonts w:ascii="Cambria" w:hAnsi="Cambria"/>
          <w:sz w:val="20"/>
          <w:szCs w:val="20"/>
        </w:rPr>
        <w:footnoteReference w:id="6"/>
      </w:r>
      <w:r w:rsidR="007A7C28" w:rsidRPr="00A27CA2">
        <w:rPr>
          <w:rFonts w:ascii="Cambria" w:hAnsi="Cambria"/>
          <w:color w:val="auto"/>
          <w:sz w:val="20"/>
          <w:szCs w:val="20"/>
        </w:rPr>
        <w:t>.</w:t>
      </w:r>
    </w:p>
    <w:p w14:paraId="00AB7100" w14:textId="77777777" w:rsidR="00A27CA2" w:rsidRPr="00A27CA2" w:rsidRDefault="00A27CA2" w:rsidP="00A27CA2">
      <w:pPr>
        <w:pStyle w:val="ListParagraph"/>
        <w:rPr>
          <w:sz w:val="20"/>
          <w:szCs w:val="20"/>
          <w:lang w:val="es-VE"/>
        </w:rPr>
      </w:pPr>
    </w:p>
    <w:p w14:paraId="4C1AB217" w14:textId="77777777" w:rsidR="00A27CA2" w:rsidRDefault="000B60B3"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VE"/>
        </w:rPr>
      </w:pPr>
      <w:r w:rsidRPr="00A27CA2">
        <w:rPr>
          <w:rFonts w:ascii="Cambria" w:hAnsi="Cambria"/>
          <w:sz w:val="20"/>
          <w:szCs w:val="20"/>
        </w:rPr>
        <w:t>Aleg</w:t>
      </w:r>
      <w:r w:rsidR="00ED6960" w:rsidRPr="00A27CA2">
        <w:rPr>
          <w:rFonts w:ascii="Cambria" w:hAnsi="Cambria"/>
          <w:sz w:val="20"/>
          <w:szCs w:val="20"/>
        </w:rPr>
        <w:t>a</w:t>
      </w:r>
      <w:r w:rsidRPr="00A27CA2">
        <w:rPr>
          <w:rFonts w:ascii="Cambria" w:hAnsi="Cambria"/>
          <w:sz w:val="20"/>
          <w:szCs w:val="20"/>
        </w:rPr>
        <w:t xml:space="preserve"> que </w:t>
      </w:r>
      <w:r w:rsidR="007819CE" w:rsidRPr="00A27CA2">
        <w:rPr>
          <w:rFonts w:ascii="Cambria" w:hAnsi="Cambria"/>
          <w:sz w:val="20"/>
          <w:szCs w:val="20"/>
        </w:rPr>
        <w:t xml:space="preserve">la falta de </w:t>
      </w:r>
      <w:r w:rsidR="008176E5" w:rsidRPr="00A27CA2">
        <w:rPr>
          <w:rFonts w:ascii="Cambria" w:hAnsi="Cambria"/>
          <w:sz w:val="20"/>
          <w:szCs w:val="20"/>
        </w:rPr>
        <w:t>pago de las sentencias</w:t>
      </w:r>
      <w:r w:rsidRPr="00A27CA2">
        <w:rPr>
          <w:rFonts w:ascii="Cambria" w:hAnsi="Cambria"/>
          <w:sz w:val="20"/>
          <w:szCs w:val="20"/>
        </w:rPr>
        <w:t xml:space="preserve"> ha ocasionado violaciones al </w:t>
      </w:r>
      <w:r w:rsidRPr="00A27CA2">
        <w:rPr>
          <w:rFonts w:ascii="Cambria" w:hAnsi="Cambria"/>
          <w:b/>
          <w:sz w:val="20"/>
          <w:szCs w:val="20"/>
        </w:rPr>
        <w:t>derecho a la propiedad privada</w:t>
      </w:r>
      <w:r w:rsidRPr="00A27CA2">
        <w:rPr>
          <w:rFonts w:ascii="Cambria" w:hAnsi="Cambria"/>
          <w:sz w:val="20"/>
          <w:szCs w:val="20"/>
        </w:rPr>
        <w:t>, porque las se</w:t>
      </w:r>
      <w:r w:rsidR="009F4BA8" w:rsidRPr="00A27CA2">
        <w:rPr>
          <w:rFonts w:ascii="Cambria" w:hAnsi="Cambria"/>
          <w:sz w:val="20"/>
          <w:szCs w:val="20"/>
        </w:rPr>
        <w:t>ntencias judiciales de pago constituyen derechos de propiedad adquiridos a su favor</w:t>
      </w:r>
      <w:r w:rsidRPr="00A27CA2">
        <w:rPr>
          <w:rFonts w:ascii="Cambria" w:hAnsi="Cambria"/>
          <w:sz w:val="20"/>
          <w:szCs w:val="20"/>
        </w:rPr>
        <w:t>, lo</w:t>
      </w:r>
      <w:r w:rsidR="00DB230F" w:rsidRPr="00A27CA2">
        <w:rPr>
          <w:rFonts w:ascii="Cambria" w:hAnsi="Cambria"/>
          <w:sz w:val="20"/>
          <w:szCs w:val="20"/>
        </w:rPr>
        <w:t>s</w:t>
      </w:r>
      <w:r w:rsidRPr="00A27CA2">
        <w:rPr>
          <w:rFonts w:ascii="Cambria" w:hAnsi="Cambria"/>
          <w:sz w:val="20"/>
          <w:szCs w:val="20"/>
        </w:rPr>
        <w:t xml:space="preserve"> cual</w:t>
      </w:r>
      <w:r w:rsidR="00DB230F" w:rsidRPr="00A27CA2">
        <w:rPr>
          <w:rFonts w:ascii="Cambria" w:hAnsi="Cambria"/>
          <w:sz w:val="20"/>
          <w:szCs w:val="20"/>
        </w:rPr>
        <w:t>es</w:t>
      </w:r>
      <w:r w:rsidRPr="00A27CA2">
        <w:rPr>
          <w:rFonts w:ascii="Cambria" w:hAnsi="Cambria"/>
          <w:sz w:val="20"/>
          <w:szCs w:val="20"/>
        </w:rPr>
        <w:t xml:space="preserve"> no se ha pagado hasta la fecha, y el </w:t>
      </w:r>
      <w:r w:rsidRPr="00A27CA2">
        <w:rPr>
          <w:rFonts w:ascii="Cambria" w:hAnsi="Cambria"/>
          <w:b/>
          <w:sz w:val="20"/>
          <w:szCs w:val="20"/>
        </w:rPr>
        <w:t>derecho a un recurso efectivo</w:t>
      </w:r>
      <w:r w:rsidRPr="00A27CA2">
        <w:rPr>
          <w:rFonts w:ascii="Cambria" w:hAnsi="Cambria"/>
          <w:sz w:val="20"/>
          <w:szCs w:val="20"/>
        </w:rPr>
        <w:t xml:space="preserve">, porque “las víctimas no cuentan con ninguna herramienta legal para hacer cumplir las sentencias”. </w:t>
      </w:r>
      <w:r w:rsidR="00FA4A76" w:rsidRPr="00A27CA2">
        <w:rPr>
          <w:rFonts w:ascii="Cambria" w:hAnsi="Cambria"/>
          <w:sz w:val="20"/>
          <w:szCs w:val="20"/>
        </w:rPr>
        <w:t>Esto, entre otros, porque la ley establece que los bienes municipales destinados al funcionamiento de sus servicios y sus dineros depositados son inembargables</w:t>
      </w:r>
      <w:r w:rsidR="00FA4A76">
        <w:rPr>
          <w:rStyle w:val="FootnoteReference"/>
          <w:rFonts w:ascii="Cambria" w:hAnsi="Cambria"/>
          <w:sz w:val="20"/>
          <w:szCs w:val="20"/>
        </w:rPr>
        <w:footnoteReference w:id="7"/>
      </w:r>
      <w:r w:rsidR="00FA4A76" w:rsidRPr="00A27CA2">
        <w:rPr>
          <w:rFonts w:ascii="Cambria" w:hAnsi="Cambria"/>
          <w:sz w:val="20"/>
          <w:szCs w:val="20"/>
        </w:rPr>
        <w:t>, por lo que “las sentencias son solamente una declaración</w:t>
      </w:r>
      <w:r w:rsidR="00ED6960" w:rsidRPr="00A27CA2">
        <w:rPr>
          <w:rFonts w:ascii="Cambria" w:hAnsi="Cambria"/>
          <w:sz w:val="20"/>
          <w:szCs w:val="20"/>
        </w:rPr>
        <w:t xml:space="preserve"> de buena voluntad”. Concluye</w:t>
      </w:r>
      <w:r w:rsidR="00FA4A76" w:rsidRPr="00A27CA2">
        <w:rPr>
          <w:rFonts w:ascii="Cambria" w:hAnsi="Cambria"/>
          <w:sz w:val="20"/>
          <w:szCs w:val="20"/>
        </w:rPr>
        <w:t xml:space="preserve"> que “el Estado de Chile no puede alegar restricciones presupuestarias para incumplir una resolución judicial, ya que haría ilusorio todo acceso a la justicia”. </w:t>
      </w:r>
    </w:p>
    <w:p w14:paraId="372EF2D3" w14:textId="77777777" w:rsidR="00A27CA2" w:rsidRPr="00A27CA2" w:rsidRDefault="00A27CA2" w:rsidP="00A27CA2">
      <w:pPr>
        <w:pStyle w:val="ListParagraph"/>
        <w:rPr>
          <w:sz w:val="20"/>
          <w:szCs w:val="20"/>
          <w:lang w:val="es-VE"/>
        </w:rPr>
      </w:pPr>
    </w:p>
    <w:p w14:paraId="1F265F1F" w14:textId="77777777" w:rsidR="00A27CA2" w:rsidRDefault="00DF1902"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VE"/>
        </w:rPr>
      </w:pPr>
      <w:r w:rsidRPr="00A27CA2">
        <w:rPr>
          <w:rFonts w:ascii="Cambria" w:hAnsi="Cambria"/>
          <w:sz w:val="20"/>
          <w:szCs w:val="20"/>
        </w:rPr>
        <w:t>Aleg</w:t>
      </w:r>
      <w:r w:rsidR="00ED6960" w:rsidRPr="00A27CA2">
        <w:rPr>
          <w:rFonts w:ascii="Cambria" w:hAnsi="Cambria"/>
          <w:sz w:val="20"/>
          <w:szCs w:val="20"/>
        </w:rPr>
        <w:t>a</w:t>
      </w:r>
      <w:r w:rsidRPr="00A27CA2">
        <w:rPr>
          <w:rFonts w:ascii="Cambria" w:hAnsi="Cambria"/>
          <w:sz w:val="20"/>
          <w:szCs w:val="20"/>
        </w:rPr>
        <w:t xml:space="preserve"> que, a pesar de que la Constitución Política establece que las municipalidades son corporaciones autónomas con patrimonio propio, forman parte del Servicio Público y la Administración del Estado de Chile, por lo que el Estado nacional también estaría obligado a asegurar el pago de las sumas ordenadas en las sentencias</w:t>
      </w:r>
      <w:r>
        <w:rPr>
          <w:rStyle w:val="FootnoteReference"/>
          <w:rFonts w:ascii="Cambria" w:hAnsi="Cambria"/>
          <w:sz w:val="20"/>
          <w:szCs w:val="20"/>
        </w:rPr>
        <w:footnoteReference w:id="8"/>
      </w:r>
      <w:r w:rsidRPr="00A27CA2">
        <w:rPr>
          <w:rFonts w:ascii="Cambria" w:hAnsi="Cambria"/>
          <w:sz w:val="20"/>
          <w:szCs w:val="20"/>
        </w:rPr>
        <w:t>.</w:t>
      </w:r>
      <w:r w:rsidR="00ED6960" w:rsidRPr="00A27CA2">
        <w:rPr>
          <w:rFonts w:ascii="Cambria" w:hAnsi="Cambria"/>
          <w:sz w:val="20"/>
          <w:szCs w:val="20"/>
        </w:rPr>
        <w:t xml:space="preserve"> Asimismo, alega</w:t>
      </w:r>
      <w:r w:rsidR="00A90469" w:rsidRPr="00A27CA2">
        <w:rPr>
          <w:rFonts w:ascii="Cambria" w:hAnsi="Cambria"/>
          <w:sz w:val="20"/>
          <w:szCs w:val="20"/>
        </w:rPr>
        <w:t xml:space="preserve"> que “el incumplimiento del apoyo Estatal a las Municipalidades para el pago de las asignaciones previsionales de los profesores municipalizados constituyó una expropiación de facto de sus bienes y derechos sobre tales asignaciones”.</w:t>
      </w:r>
    </w:p>
    <w:p w14:paraId="1E1BF344" w14:textId="77777777" w:rsidR="00A27CA2" w:rsidRPr="00A27CA2" w:rsidRDefault="00A27CA2" w:rsidP="00A27CA2">
      <w:pPr>
        <w:pStyle w:val="ListParagraph"/>
        <w:rPr>
          <w:sz w:val="20"/>
          <w:szCs w:val="20"/>
          <w:lang w:val="es-VE"/>
        </w:rPr>
      </w:pPr>
    </w:p>
    <w:p w14:paraId="31504ABA" w14:textId="77777777" w:rsidR="000B60B3" w:rsidRPr="00A27CA2" w:rsidRDefault="00FA4A76"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VE"/>
        </w:rPr>
      </w:pPr>
      <w:r w:rsidRPr="00A27CA2">
        <w:rPr>
          <w:rFonts w:ascii="Cambria" w:hAnsi="Cambria"/>
          <w:sz w:val="20"/>
          <w:szCs w:val="20"/>
        </w:rPr>
        <w:t>Finalmente, aleg</w:t>
      </w:r>
      <w:r w:rsidR="00ED6960" w:rsidRPr="00A27CA2">
        <w:rPr>
          <w:rFonts w:ascii="Cambria" w:hAnsi="Cambria"/>
          <w:sz w:val="20"/>
          <w:szCs w:val="20"/>
        </w:rPr>
        <w:t>a</w:t>
      </w:r>
      <w:r w:rsidRPr="00A27CA2">
        <w:rPr>
          <w:rFonts w:ascii="Cambria" w:hAnsi="Cambria"/>
          <w:sz w:val="20"/>
          <w:szCs w:val="20"/>
        </w:rPr>
        <w:t xml:space="preserve"> violaciones al </w:t>
      </w:r>
      <w:r w:rsidRPr="00A27CA2">
        <w:rPr>
          <w:rFonts w:ascii="Cambria" w:hAnsi="Cambria"/>
          <w:b/>
          <w:sz w:val="20"/>
          <w:szCs w:val="20"/>
        </w:rPr>
        <w:t>derecho al debido proceso</w:t>
      </w:r>
      <w:r w:rsidRPr="00A27CA2">
        <w:rPr>
          <w:rFonts w:ascii="Cambria" w:hAnsi="Cambria"/>
          <w:sz w:val="20"/>
          <w:szCs w:val="20"/>
        </w:rPr>
        <w:t xml:space="preserve"> </w:t>
      </w:r>
      <w:r w:rsidR="006C4F3D" w:rsidRPr="00A27CA2">
        <w:rPr>
          <w:rFonts w:ascii="Cambria" w:hAnsi="Cambria"/>
          <w:sz w:val="20"/>
          <w:szCs w:val="20"/>
        </w:rPr>
        <w:t>en cuanto 1) no existe independencia del Poder Judicial en este caso “si sus sentencias solo podrán ser ejecutadas si existe una decisión Estatal de permitirlo”; 2) el transcurso de más de 20 años desde la expedición de las sentencias firmes sin que se hayan cumplido hace manifiest</w:t>
      </w:r>
      <w:r w:rsidR="005636E5" w:rsidRPr="00A27CA2">
        <w:rPr>
          <w:rFonts w:ascii="Cambria" w:hAnsi="Cambria"/>
          <w:sz w:val="20"/>
          <w:szCs w:val="20"/>
        </w:rPr>
        <w:t>a</w:t>
      </w:r>
      <w:r w:rsidR="006C4F3D" w:rsidRPr="00A27CA2">
        <w:rPr>
          <w:rFonts w:ascii="Cambria" w:hAnsi="Cambria"/>
          <w:sz w:val="20"/>
          <w:szCs w:val="20"/>
        </w:rPr>
        <w:t xml:space="preserve"> la violación al plazo razonable; 3) el acceso a los tribunales “es meramente formal” si no se cumplan las sentencias, generando una violación del derecho de acceso a la justicia.</w:t>
      </w:r>
    </w:p>
    <w:p w14:paraId="704F7EEF" w14:textId="77777777" w:rsidR="00045156" w:rsidRPr="00FA4A76" w:rsidRDefault="00045156" w:rsidP="00045156">
      <w:pPr>
        <w:suppressAutoHyphens/>
        <w:rPr>
          <w:color w:val="548DD4" w:themeColor="text2" w:themeTint="99"/>
          <w:sz w:val="20"/>
          <w:szCs w:val="20"/>
        </w:rPr>
      </w:pPr>
    </w:p>
    <w:p w14:paraId="34C58DF6" w14:textId="77777777" w:rsidR="00D12193" w:rsidRPr="00A27CA2" w:rsidRDefault="0022273F" w:rsidP="00A27CA2">
      <w:pPr>
        <w:pStyle w:val="Heading2"/>
        <w:keepN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s>
        <w:suppressAutoHyphens w:val="0"/>
        <w:ind w:left="0" w:firstLine="0"/>
        <w:jc w:val="both"/>
        <w:rPr>
          <w:rFonts w:ascii="Cambria" w:eastAsia="Times New Roman" w:hAnsi="Cambria" w:cs="Times New Roman"/>
          <w:color w:val="auto"/>
          <w:bdr w:val="none" w:sz="0" w:space="0" w:color="auto"/>
          <w:lang w:eastAsia="en-US"/>
        </w:rPr>
      </w:pPr>
      <w:bookmarkStart w:id="7" w:name="_Toc532549543"/>
      <w:bookmarkStart w:id="8" w:name="_Toc5020336"/>
      <w:r w:rsidRPr="00A27CA2">
        <w:rPr>
          <w:rFonts w:ascii="Cambria" w:eastAsia="Times New Roman" w:hAnsi="Cambria" w:cs="Times New Roman"/>
          <w:color w:val="auto"/>
          <w:bdr w:val="none" w:sz="0" w:space="0" w:color="auto"/>
          <w:lang w:eastAsia="en-US"/>
        </w:rPr>
        <w:t>Estado</w:t>
      </w:r>
      <w:bookmarkEnd w:id="7"/>
      <w:bookmarkEnd w:id="8"/>
      <w:r w:rsidR="00CC63CF" w:rsidRPr="00A27CA2">
        <w:rPr>
          <w:rFonts w:ascii="Cambria" w:eastAsia="Times New Roman" w:hAnsi="Cambria" w:cs="Times New Roman"/>
          <w:color w:val="auto"/>
          <w:bdr w:val="none" w:sz="0" w:space="0" w:color="auto"/>
          <w:lang w:eastAsia="en-US"/>
        </w:rPr>
        <w:t xml:space="preserve"> </w:t>
      </w:r>
    </w:p>
    <w:p w14:paraId="19E3E904" w14:textId="77777777" w:rsidR="007C756A" w:rsidRDefault="007C756A" w:rsidP="0022273F">
      <w:pPr>
        <w:suppressAutoHyphens/>
        <w:rPr>
          <w:sz w:val="20"/>
          <w:szCs w:val="20"/>
          <w:lang w:val="es-ES_tradnl"/>
        </w:rPr>
      </w:pPr>
    </w:p>
    <w:p w14:paraId="576EFF57" w14:textId="77777777" w:rsidR="00A27CA2" w:rsidRDefault="00ED6960"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El Estado alega</w:t>
      </w:r>
      <w:r w:rsidR="00855A57">
        <w:rPr>
          <w:rFonts w:ascii="Cambria" w:hAnsi="Cambria"/>
          <w:color w:val="000000" w:themeColor="text1"/>
          <w:sz w:val="20"/>
          <w:szCs w:val="20"/>
          <w:lang w:val="es-VE"/>
        </w:rPr>
        <w:t xml:space="preserve"> que la parte peticionaria no ha acreditado su legitimación activa como representante legal de las “848 o 852” presuntas víctimas de caso, lo cual cobraría particular relevancia por cuanto este caso “es una situación fundamentalmente de índole patrimonial”</w:t>
      </w:r>
      <w:r w:rsidR="00CC63CF" w:rsidRPr="00A814FA">
        <w:rPr>
          <w:rFonts w:ascii="Cambria" w:hAnsi="Cambria"/>
          <w:color w:val="000000" w:themeColor="text1"/>
          <w:sz w:val="20"/>
          <w:szCs w:val="20"/>
          <w:lang w:val="es-VE"/>
        </w:rPr>
        <w:t>.</w:t>
      </w:r>
      <w:r w:rsidR="00855A57">
        <w:rPr>
          <w:rFonts w:ascii="Cambria" w:hAnsi="Cambria"/>
          <w:color w:val="000000" w:themeColor="text1"/>
          <w:sz w:val="20"/>
          <w:szCs w:val="20"/>
          <w:lang w:val="es-VE"/>
        </w:rPr>
        <w:t xml:space="preserve"> Asimismo, aleg</w:t>
      </w:r>
      <w:r w:rsidR="002D1426">
        <w:rPr>
          <w:rFonts w:ascii="Cambria" w:hAnsi="Cambria"/>
          <w:color w:val="000000" w:themeColor="text1"/>
          <w:sz w:val="20"/>
          <w:szCs w:val="20"/>
          <w:lang w:val="es-VE"/>
        </w:rPr>
        <w:t>a</w:t>
      </w:r>
      <w:r w:rsidR="00855A57">
        <w:rPr>
          <w:rFonts w:ascii="Cambria" w:hAnsi="Cambria"/>
          <w:color w:val="000000" w:themeColor="text1"/>
          <w:sz w:val="20"/>
          <w:szCs w:val="20"/>
          <w:lang w:val="es-VE"/>
        </w:rPr>
        <w:t xml:space="preserve"> nuevamente la falta de </w:t>
      </w:r>
      <w:r w:rsidR="00170EE3">
        <w:rPr>
          <w:rFonts w:ascii="Cambria" w:hAnsi="Cambria"/>
          <w:color w:val="000000" w:themeColor="text1"/>
          <w:sz w:val="20"/>
          <w:szCs w:val="20"/>
          <w:lang w:val="es-VE"/>
        </w:rPr>
        <w:t xml:space="preserve">correcto </w:t>
      </w:r>
      <w:r w:rsidR="00855A57" w:rsidRPr="00A27CA2">
        <w:rPr>
          <w:rFonts w:ascii="Cambria" w:hAnsi="Cambria"/>
          <w:sz w:val="20"/>
          <w:szCs w:val="20"/>
        </w:rPr>
        <w:t>agotamiento</w:t>
      </w:r>
      <w:r w:rsidR="00855A57">
        <w:rPr>
          <w:rFonts w:ascii="Cambria" w:hAnsi="Cambria"/>
          <w:color w:val="000000" w:themeColor="text1"/>
          <w:sz w:val="20"/>
          <w:szCs w:val="20"/>
          <w:lang w:val="es-VE"/>
        </w:rPr>
        <w:t xml:space="preserve"> </w:t>
      </w:r>
      <w:r w:rsidR="00170EE3">
        <w:rPr>
          <w:rFonts w:ascii="Cambria" w:hAnsi="Cambria"/>
          <w:color w:val="000000" w:themeColor="text1"/>
          <w:sz w:val="20"/>
          <w:szCs w:val="20"/>
          <w:lang w:val="es-VE"/>
        </w:rPr>
        <w:t>de todos los recursos internos disponibles para asegurar la ejecución de las sentencias judiciales, aspecto que ya fue decidido por la Comisión en su Informe de Admisibilidad No. 28/13</w:t>
      </w:r>
      <w:r w:rsidR="00B446E4">
        <w:rPr>
          <w:rFonts w:ascii="Cambria" w:hAnsi="Cambria"/>
          <w:color w:val="000000" w:themeColor="text1"/>
          <w:sz w:val="20"/>
          <w:szCs w:val="20"/>
          <w:lang w:val="es-VE"/>
        </w:rPr>
        <w:t xml:space="preserve"> y por lo tanto no se considerará en mayor detalle en el presente informe</w:t>
      </w:r>
      <w:r w:rsidR="00170EE3">
        <w:rPr>
          <w:rFonts w:ascii="Cambria" w:hAnsi="Cambria"/>
          <w:color w:val="000000" w:themeColor="text1"/>
          <w:sz w:val="20"/>
          <w:szCs w:val="20"/>
          <w:lang w:val="es-VE"/>
        </w:rPr>
        <w:t>.</w:t>
      </w:r>
      <w:r w:rsidR="00B446E4">
        <w:rPr>
          <w:rFonts w:ascii="Cambria" w:hAnsi="Cambria"/>
          <w:color w:val="000000" w:themeColor="text1"/>
          <w:sz w:val="20"/>
          <w:szCs w:val="20"/>
          <w:lang w:val="es-VE"/>
        </w:rPr>
        <w:t xml:space="preserve"> </w:t>
      </w:r>
    </w:p>
    <w:p w14:paraId="584691FB" w14:textId="77777777" w:rsidR="00A27CA2" w:rsidRDefault="00A27CA2" w:rsidP="00A27CA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000000" w:themeColor="text1"/>
          <w:sz w:val="20"/>
          <w:szCs w:val="20"/>
          <w:lang w:val="es-VE"/>
        </w:rPr>
      </w:pPr>
    </w:p>
    <w:p w14:paraId="265B412C" w14:textId="77777777" w:rsidR="00A27CA2" w:rsidRDefault="002D1426"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lang w:val="es-VE"/>
        </w:rPr>
      </w:pPr>
      <w:r w:rsidRPr="00A27CA2">
        <w:rPr>
          <w:rFonts w:ascii="Cambria" w:hAnsi="Cambria"/>
          <w:color w:val="000000" w:themeColor="text1"/>
          <w:sz w:val="20"/>
          <w:szCs w:val="20"/>
          <w:lang w:val="es-VE"/>
        </w:rPr>
        <w:t>El Estado presenta</w:t>
      </w:r>
      <w:r w:rsidR="00170EE3" w:rsidRPr="00A27CA2">
        <w:rPr>
          <w:rFonts w:ascii="Cambria" w:hAnsi="Cambria"/>
          <w:color w:val="000000" w:themeColor="text1"/>
          <w:sz w:val="20"/>
          <w:szCs w:val="20"/>
          <w:lang w:val="es-VE"/>
        </w:rPr>
        <w:t xml:space="preserve"> </w:t>
      </w:r>
      <w:r w:rsidR="009E72E8" w:rsidRPr="00A27CA2">
        <w:rPr>
          <w:rFonts w:ascii="Cambria" w:hAnsi="Cambria"/>
          <w:color w:val="000000" w:themeColor="text1"/>
          <w:sz w:val="20"/>
          <w:szCs w:val="20"/>
          <w:lang w:val="es-VE"/>
        </w:rPr>
        <w:t>varios</w:t>
      </w:r>
      <w:r w:rsidR="00170EE3" w:rsidRPr="00A27CA2">
        <w:rPr>
          <w:rFonts w:ascii="Cambria" w:hAnsi="Cambria"/>
          <w:color w:val="000000" w:themeColor="text1"/>
          <w:sz w:val="20"/>
          <w:szCs w:val="20"/>
          <w:lang w:val="es-VE"/>
        </w:rPr>
        <w:t xml:space="preserve"> argumentos relacionados con su normativa interna y la naturaleza jurídica de la deuda</w:t>
      </w:r>
      <w:r w:rsidR="00970AF4" w:rsidRPr="00A27CA2">
        <w:rPr>
          <w:rFonts w:ascii="Cambria" w:hAnsi="Cambria"/>
          <w:color w:val="000000" w:themeColor="text1"/>
          <w:sz w:val="20"/>
          <w:szCs w:val="20"/>
          <w:lang w:val="es-VE"/>
        </w:rPr>
        <w:t>, los cuales llevarían a la conclusión de que la omisión de las municipalidades en pagarlas, no genera responsabilidad internacional del Estado</w:t>
      </w:r>
      <w:r w:rsidR="00170EE3" w:rsidRPr="00A27CA2">
        <w:rPr>
          <w:rFonts w:ascii="Cambria" w:hAnsi="Cambria"/>
          <w:color w:val="000000" w:themeColor="text1"/>
          <w:sz w:val="20"/>
          <w:szCs w:val="20"/>
          <w:lang w:val="es-VE"/>
        </w:rPr>
        <w:t xml:space="preserve">. Primero, que “las prestaciones a la que se condenó a pagar a las Municipalidades […] </w:t>
      </w:r>
      <w:r w:rsidR="00B54C64" w:rsidRPr="00A27CA2">
        <w:rPr>
          <w:rFonts w:ascii="Cambria" w:hAnsi="Cambria"/>
          <w:color w:val="000000" w:themeColor="text1"/>
          <w:sz w:val="20"/>
          <w:szCs w:val="20"/>
          <w:lang w:val="es-VE"/>
        </w:rPr>
        <w:t>[son]</w:t>
      </w:r>
      <w:r w:rsidR="00170EE3" w:rsidRPr="00A27CA2">
        <w:rPr>
          <w:rFonts w:ascii="Cambria" w:hAnsi="Cambria"/>
          <w:color w:val="000000" w:themeColor="text1"/>
          <w:sz w:val="20"/>
          <w:szCs w:val="20"/>
          <w:lang w:val="es-VE"/>
        </w:rPr>
        <w:t xml:space="preserve"> de origen claramente patrimonial asociado a remuneraciones […] y no de carácter previsional […]”, </w:t>
      </w:r>
      <w:r w:rsidR="009E72E8" w:rsidRPr="00A27CA2">
        <w:rPr>
          <w:rFonts w:ascii="Cambria" w:hAnsi="Cambria"/>
          <w:color w:val="000000" w:themeColor="text1"/>
          <w:sz w:val="20"/>
          <w:szCs w:val="20"/>
          <w:lang w:val="es-VE"/>
        </w:rPr>
        <w:t>porque</w:t>
      </w:r>
      <w:r w:rsidR="00B54C64" w:rsidRPr="00A27CA2">
        <w:rPr>
          <w:rFonts w:ascii="Cambria" w:hAnsi="Cambria"/>
          <w:color w:val="000000" w:themeColor="text1"/>
          <w:sz w:val="20"/>
          <w:szCs w:val="20"/>
          <w:lang w:val="es-VE"/>
        </w:rPr>
        <w:t xml:space="preserve"> el traspaso de los profesores a las municipalidades en las 1980s les habría sujetado a las normas laborales de remuneración y de previsión aplicables al sector privado, por lo que </w:t>
      </w:r>
      <w:r w:rsidR="009E72E8" w:rsidRPr="00A27CA2">
        <w:rPr>
          <w:rFonts w:ascii="Cambria" w:hAnsi="Cambria"/>
          <w:color w:val="000000" w:themeColor="text1"/>
          <w:sz w:val="20"/>
          <w:szCs w:val="20"/>
          <w:lang w:val="es-VE"/>
        </w:rPr>
        <w:t xml:space="preserve">los profesores </w:t>
      </w:r>
      <w:r w:rsidR="00B54C64" w:rsidRPr="00A27CA2">
        <w:rPr>
          <w:rFonts w:ascii="Cambria" w:hAnsi="Cambria"/>
          <w:color w:val="000000" w:themeColor="text1"/>
          <w:sz w:val="20"/>
          <w:szCs w:val="20"/>
          <w:lang w:val="es-VE"/>
        </w:rPr>
        <w:t>habrían “cesa[do] de ser beneficiarios de una asignación especial” prevista en las normas aplicables al sector público</w:t>
      </w:r>
      <w:r w:rsidRPr="00A27CA2">
        <w:rPr>
          <w:rFonts w:ascii="Cambria" w:hAnsi="Cambria"/>
          <w:color w:val="000000" w:themeColor="text1"/>
          <w:sz w:val="20"/>
          <w:szCs w:val="20"/>
          <w:lang w:val="es-VE"/>
        </w:rPr>
        <w:t>.</w:t>
      </w:r>
      <w:r w:rsidR="009E72E8" w:rsidRPr="00A27CA2">
        <w:rPr>
          <w:rFonts w:ascii="Cambria" w:hAnsi="Cambria"/>
          <w:color w:val="000000" w:themeColor="text1"/>
          <w:sz w:val="20"/>
          <w:szCs w:val="20"/>
          <w:lang w:val="es-VE"/>
        </w:rPr>
        <w:t xml:space="preserve"> </w:t>
      </w:r>
      <w:r w:rsidRPr="00A27CA2">
        <w:rPr>
          <w:rFonts w:ascii="Cambria" w:hAnsi="Cambria"/>
          <w:color w:val="000000" w:themeColor="text1"/>
          <w:sz w:val="20"/>
          <w:szCs w:val="20"/>
          <w:lang w:val="es-VE"/>
        </w:rPr>
        <w:t>Además,</w:t>
      </w:r>
      <w:r w:rsidR="00953982" w:rsidRPr="00A27CA2">
        <w:rPr>
          <w:rFonts w:ascii="Cambria" w:hAnsi="Cambria"/>
          <w:color w:val="000000" w:themeColor="text1"/>
          <w:sz w:val="20"/>
          <w:szCs w:val="20"/>
          <w:lang w:val="es-VE"/>
        </w:rPr>
        <w:t xml:space="preserve"> dicha asignación especial era “no imponible para efectos previsionales”</w:t>
      </w:r>
      <w:r w:rsidR="00170EE3" w:rsidRPr="00A27CA2">
        <w:rPr>
          <w:rFonts w:ascii="Cambria" w:hAnsi="Cambria"/>
          <w:color w:val="000000" w:themeColor="text1"/>
          <w:sz w:val="20"/>
          <w:szCs w:val="20"/>
          <w:lang w:val="es-VE"/>
        </w:rPr>
        <w:t xml:space="preserve">. </w:t>
      </w:r>
      <w:r w:rsidR="00B54C64" w:rsidRPr="00A27CA2">
        <w:rPr>
          <w:rFonts w:ascii="Cambria" w:hAnsi="Cambria"/>
          <w:color w:val="000000" w:themeColor="text1"/>
          <w:sz w:val="20"/>
          <w:szCs w:val="20"/>
          <w:lang w:val="es-VE"/>
        </w:rPr>
        <w:t xml:space="preserve">Por lo tanto, los </w:t>
      </w:r>
      <w:r w:rsidR="00970AF4" w:rsidRPr="00A27CA2">
        <w:rPr>
          <w:rFonts w:ascii="Cambria" w:hAnsi="Cambria"/>
          <w:color w:val="000000" w:themeColor="text1"/>
          <w:sz w:val="20"/>
          <w:szCs w:val="20"/>
          <w:lang w:val="es-VE"/>
        </w:rPr>
        <w:t xml:space="preserve">presuntos </w:t>
      </w:r>
      <w:r w:rsidR="00B54C64" w:rsidRPr="00A27CA2">
        <w:rPr>
          <w:rFonts w:ascii="Cambria" w:hAnsi="Cambria"/>
          <w:color w:val="000000" w:themeColor="text1"/>
          <w:sz w:val="20"/>
          <w:szCs w:val="20"/>
          <w:lang w:val="es-VE"/>
        </w:rPr>
        <w:t>acuerdos de algunas municipalidades de continuar garantizando el régimen aplicable al sector público serían viciadas de nulidad, inconstitucionales</w:t>
      </w:r>
      <w:r w:rsidR="00953982" w:rsidRPr="00A27CA2">
        <w:rPr>
          <w:rFonts w:ascii="Cambria" w:hAnsi="Cambria"/>
          <w:color w:val="000000" w:themeColor="text1"/>
          <w:sz w:val="20"/>
          <w:szCs w:val="20"/>
          <w:lang w:val="es-VE"/>
        </w:rPr>
        <w:t xml:space="preserve"> y contravendrían el derecho público chileno</w:t>
      </w:r>
      <w:r w:rsidR="00B54C64" w:rsidRPr="00A27CA2">
        <w:rPr>
          <w:rFonts w:ascii="Cambria" w:hAnsi="Cambria"/>
          <w:color w:val="000000" w:themeColor="text1"/>
          <w:sz w:val="20"/>
          <w:szCs w:val="20"/>
          <w:lang w:val="es-VE"/>
        </w:rPr>
        <w:t>.</w:t>
      </w:r>
      <w:r w:rsidR="00856BBF" w:rsidRPr="00A27CA2">
        <w:rPr>
          <w:rFonts w:ascii="Cambria" w:hAnsi="Cambria"/>
          <w:color w:val="000000" w:themeColor="text1"/>
          <w:sz w:val="20"/>
          <w:szCs w:val="20"/>
          <w:lang w:val="es-VE"/>
        </w:rPr>
        <w:t xml:space="preserve"> </w:t>
      </w:r>
    </w:p>
    <w:p w14:paraId="15DFF98C" w14:textId="77777777" w:rsidR="00A27CA2" w:rsidRDefault="00A27CA2" w:rsidP="00A27CA2">
      <w:pPr>
        <w:pStyle w:val="ListParagraph"/>
        <w:rPr>
          <w:color w:val="000000" w:themeColor="text1"/>
          <w:sz w:val="20"/>
          <w:szCs w:val="20"/>
          <w:lang w:val="es-VE"/>
        </w:rPr>
      </w:pPr>
    </w:p>
    <w:p w14:paraId="4C752B0D" w14:textId="77777777" w:rsidR="00A27CA2" w:rsidRDefault="00856BBF"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lang w:val="es-VE"/>
        </w:rPr>
      </w:pPr>
      <w:r w:rsidRPr="00A27CA2">
        <w:rPr>
          <w:rFonts w:ascii="Cambria" w:hAnsi="Cambria"/>
          <w:color w:val="000000" w:themeColor="text1"/>
          <w:sz w:val="20"/>
          <w:szCs w:val="20"/>
          <w:lang w:val="es-VE"/>
        </w:rPr>
        <w:t>Asimismo, “las municipalidades son corporaciones autónomas de derecho público” que no “pueden considerarse servicios públicos que se encuentren sometidos a la dependencia o supervigilancia del Presidente de la República”</w:t>
      </w:r>
      <w:r w:rsidR="00B446E4">
        <w:rPr>
          <w:rStyle w:val="FootnoteReference"/>
          <w:rFonts w:ascii="Cambria" w:hAnsi="Cambria"/>
          <w:color w:val="000000" w:themeColor="text1"/>
          <w:sz w:val="20"/>
          <w:szCs w:val="20"/>
          <w:lang w:val="es-VE"/>
        </w:rPr>
        <w:footnoteReference w:id="9"/>
      </w:r>
      <w:r w:rsidRPr="00A27CA2">
        <w:rPr>
          <w:rFonts w:ascii="Cambria" w:hAnsi="Cambria"/>
          <w:color w:val="000000" w:themeColor="text1"/>
          <w:sz w:val="20"/>
          <w:szCs w:val="20"/>
          <w:lang w:val="es-VE"/>
        </w:rPr>
        <w:t>.</w:t>
      </w:r>
      <w:r w:rsidR="009E72E8" w:rsidRPr="00A27CA2">
        <w:rPr>
          <w:rFonts w:ascii="Cambria" w:hAnsi="Cambria"/>
          <w:color w:val="000000" w:themeColor="text1"/>
          <w:sz w:val="20"/>
          <w:szCs w:val="20"/>
          <w:lang w:val="es-VE"/>
        </w:rPr>
        <w:t xml:space="preserve"> En consecuencia, l</w:t>
      </w:r>
      <w:r w:rsidR="00B446E4" w:rsidRPr="00A27CA2">
        <w:rPr>
          <w:rFonts w:ascii="Cambria" w:hAnsi="Cambria"/>
          <w:color w:val="000000" w:themeColor="text1"/>
          <w:sz w:val="20"/>
          <w:szCs w:val="20"/>
          <w:lang w:val="es-VE"/>
        </w:rPr>
        <w:t>a</w:t>
      </w:r>
      <w:r w:rsidR="009E72E8" w:rsidRPr="00A27CA2">
        <w:rPr>
          <w:rFonts w:ascii="Cambria" w:hAnsi="Cambria"/>
          <w:color w:val="000000" w:themeColor="text1"/>
          <w:sz w:val="20"/>
          <w:szCs w:val="20"/>
          <w:lang w:val="es-VE"/>
        </w:rPr>
        <w:t>s y l</w:t>
      </w:r>
      <w:r w:rsidR="00B446E4" w:rsidRPr="00A27CA2">
        <w:rPr>
          <w:rFonts w:ascii="Cambria" w:hAnsi="Cambria"/>
          <w:color w:val="000000" w:themeColor="text1"/>
          <w:sz w:val="20"/>
          <w:szCs w:val="20"/>
          <w:lang w:val="es-VE"/>
        </w:rPr>
        <w:t>o</w:t>
      </w:r>
      <w:r w:rsidR="009E72E8" w:rsidRPr="00A27CA2">
        <w:rPr>
          <w:rFonts w:ascii="Cambria" w:hAnsi="Cambria"/>
          <w:color w:val="000000" w:themeColor="text1"/>
          <w:sz w:val="20"/>
          <w:szCs w:val="20"/>
          <w:lang w:val="es-VE"/>
        </w:rPr>
        <w:t>s profesores “libremente celebraron contratos de trabajo con los municipios sometidos al derecho laboral común” y el presente caso debería considerarse un intento</w:t>
      </w:r>
      <w:r w:rsidR="001D4A21" w:rsidRPr="00A27CA2">
        <w:rPr>
          <w:rFonts w:ascii="Cambria" w:hAnsi="Cambria"/>
          <w:color w:val="000000" w:themeColor="text1"/>
          <w:sz w:val="20"/>
          <w:szCs w:val="20"/>
          <w:lang w:val="es-VE"/>
        </w:rPr>
        <w:t xml:space="preserve"> prohibido</w:t>
      </w:r>
      <w:r w:rsidR="009E72E8" w:rsidRPr="00A27CA2">
        <w:rPr>
          <w:rFonts w:ascii="Cambria" w:hAnsi="Cambria"/>
          <w:color w:val="000000" w:themeColor="text1"/>
          <w:sz w:val="20"/>
          <w:szCs w:val="20"/>
          <w:lang w:val="es-VE"/>
        </w:rPr>
        <w:t xml:space="preserve"> de “provocar [la] intervención </w:t>
      </w:r>
      <w:r w:rsidR="001D4A21" w:rsidRPr="00A27CA2">
        <w:rPr>
          <w:rFonts w:ascii="Cambria" w:hAnsi="Cambria"/>
          <w:color w:val="000000" w:themeColor="text1"/>
          <w:sz w:val="20"/>
          <w:szCs w:val="20"/>
          <w:lang w:val="es-VE"/>
        </w:rPr>
        <w:t xml:space="preserve">[de la CIDH] en una materia de orden laboral común, en que trabajadores reclaman diferencias de sueldos no pagadas por su empleador”, pues de permitirse, “implicaría que la Comisión estaría facultada para avocarse al conocimiento de toda diferencia de criterios y deudas sobre remuneraciones [en contratos laborales entre partes privadas], lo que constituiría al Estado en una suerte de garante de obligaciones generadas libre y voluntariamente entre contratantes, y respecto de las cuales no tuvo participación alguna […]”. </w:t>
      </w:r>
      <w:r w:rsidR="00F628E2" w:rsidRPr="00A27CA2">
        <w:rPr>
          <w:rFonts w:ascii="Cambria" w:hAnsi="Cambria"/>
          <w:color w:val="000000" w:themeColor="text1"/>
          <w:sz w:val="20"/>
          <w:szCs w:val="20"/>
          <w:lang w:val="es-VE"/>
        </w:rPr>
        <w:t xml:space="preserve">En este sentido, se entiende que el Estado negaría la responsabilidad internacional por violaciones al </w:t>
      </w:r>
      <w:r w:rsidR="00F628E2" w:rsidRPr="00A27CA2">
        <w:rPr>
          <w:rFonts w:ascii="Cambria" w:hAnsi="Cambria"/>
          <w:b/>
          <w:color w:val="000000" w:themeColor="text1"/>
          <w:sz w:val="20"/>
          <w:szCs w:val="20"/>
          <w:lang w:val="es-VE"/>
        </w:rPr>
        <w:t>derecho a la propiedad privada</w:t>
      </w:r>
      <w:r w:rsidR="00F628E2" w:rsidRPr="00A27CA2">
        <w:rPr>
          <w:rFonts w:ascii="Cambria" w:hAnsi="Cambria"/>
          <w:color w:val="000000" w:themeColor="text1"/>
          <w:sz w:val="20"/>
          <w:szCs w:val="20"/>
          <w:lang w:val="es-VE"/>
        </w:rPr>
        <w:t>.</w:t>
      </w:r>
    </w:p>
    <w:p w14:paraId="46017E98" w14:textId="77777777" w:rsidR="00A27CA2" w:rsidRDefault="00A27CA2" w:rsidP="00A27CA2">
      <w:pPr>
        <w:pStyle w:val="ListParagraph"/>
        <w:rPr>
          <w:color w:val="000000" w:themeColor="text1"/>
          <w:sz w:val="20"/>
          <w:szCs w:val="20"/>
          <w:lang w:val="es-VE"/>
        </w:rPr>
      </w:pPr>
    </w:p>
    <w:p w14:paraId="42626423" w14:textId="77777777" w:rsidR="00A27CA2" w:rsidRDefault="005C6936"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lang w:val="es-VE"/>
        </w:rPr>
      </w:pPr>
      <w:r w:rsidRPr="00A27CA2">
        <w:rPr>
          <w:rFonts w:ascii="Cambria" w:hAnsi="Cambria"/>
          <w:color w:val="000000" w:themeColor="text1"/>
          <w:sz w:val="20"/>
          <w:szCs w:val="20"/>
          <w:lang w:val="es-VE"/>
        </w:rPr>
        <w:t xml:space="preserve">Por otro lado, en la etapa de admisibilidad, alegó que no se violó el </w:t>
      </w:r>
      <w:r w:rsidRPr="00A27CA2">
        <w:rPr>
          <w:rFonts w:ascii="Cambria" w:hAnsi="Cambria"/>
          <w:b/>
          <w:color w:val="000000" w:themeColor="text1"/>
          <w:sz w:val="20"/>
          <w:szCs w:val="20"/>
          <w:lang w:val="es-VE"/>
        </w:rPr>
        <w:t>derecho a la propiedad</w:t>
      </w:r>
      <w:r w:rsidRPr="00A27CA2">
        <w:rPr>
          <w:rFonts w:ascii="Cambria" w:hAnsi="Cambria"/>
          <w:color w:val="000000" w:themeColor="text1"/>
          <w:sz w:val="20"/>
          <w:szCs w:val="20"/>
          <w:lang w:val="es-VE"/>
        </w:rPr>
        <w:t xml:space="preserve"> respecto de los profesores de la Municipalidad de Chañaral porque el tribunal de segunda instancia declaró </w:t>
      </w:r>
      <w:r w:rsidR="00230BD8" w:rsidRPr="00A27CA2">
        <w:rPr>
          <w:rFonts w:ascii="Cambria" w:hAnsi="Cambria"/>
          <w:color w:val="000000" w:themeColor="text1"/>
          <w:sz w:val="20"/>
          <w:szCs w:val="20"/>
          <w:lang w:val="es-VE"/>
        </w:rPr>
        <w:t>“que corresponde a los demandantes percibir las asignaciones reclamadas […] debiendo ponderarse además, que dicho cambio en la relación jurídica entre los exfuncionarios y la autoridad de la cual dependían no fue efectuado con su consentimiento, sino que fue impuesto por un acto de autoridad…”</w:t>
      </w:r>
      <w:r w:rsidR="00E676EC" w:rsidRPr="00A27CA2">
        <w:rPr>
          <w:rFonts w:ascii="Cambria" w:hAnsi="Cambria"/>
          <w:color w:val="000000" w:themeColor="text1"/>
          <w:sz w:val="20"/>
          <w:szCs w:val="20"/>
          <w:lang w:val="es-VE"/>
        </w:rPr>
        <w:t>, por lo que</w:t>
      </w:r>
      <w:r w:rsidR="00970AF4" w:rsidRPr="00A27CA2">
        <w:rPr>
          <w:rFonts w:ascii="Cambria" w:hAnsi="Cambria"/>
          <w:color w:val="000000" w:themeColor="text1"/>
          <w:sz w:val="20"/>
          <w:szCs w:val="20"/>
          <w:lang w:val="es-VE"/>
        </w:rPr>
        <w:t xml:space="preserve"> el Estado</w:t>
      </w:r>
      <w:r w:rsidR="00E676EC" w:rsidRPr="00A27CA2">
        <w:rPr>
          <w:rFonts w:ascii="Cambria" w:hAnsi="Cambria"/>
          <w:color w:val="000000" w:themeColor="text1"/>
          <w:sz w:val="20"/>
          <w:szCs w:val="20"/>
          <w:lang w:val="es-VE"/>
        </w:rPr>
        <w:t xml:space="preserve"> </w:t>
      </w:r>
      <w:r w:rsidR="00970AF4" w:rsidRPr="00A27CA2">
        <w:rPr>
          <w:rFonts w:ascii="Cambria" w:hAnsi="Cambria"/>
          <w:color w:val="000000" w:themeColor="text1"/>
          <w:sz w:val="20"/>
          <w:szCs w:val="20"/>
          <w:lang w:val="es-VE"/>
        </w:rPr>
        <w:t>adujo</w:t>
      </w:r>
      <w:r w:rsidR="00E676EC" w:rsidRPr="00A27CA2">
        <w:rPr>
          <w:rFonts w:ascii="Cambria" w:hAnsi="Cambria"/>
          <w:color w:val="000000" w:themeColor="text1"/>
          <w:sz w:val="20"/>
          <w:szCs w:val="20"/>
          <w:lang w:val="es-VE"/>
        </w:rPr>
        <w:t xml:space="preserve"> que </w:t>
      </w:r>
      <w:r w:rsidR="00970AF4" w:rsidRPr="00A27CA2">
        <w:rPr>
          <w:rFonts w:ascii="Cambria" w:hAnsi="Cambria"/>
          <w:color w:val="000000" w:themeColor="text1"/>
          <w:sz w:val="20"/>
          <w:szCs w:val="20"/>
          <w:lang w:val="es-VE"/>
        </w:rPr>
        <w:t xml:space="preserve">en cuanto se declaró judicialmente el derecho de las y los profesores a la remuneración reclamada, </w:t>
      </w:r>
      <w:r w:rsidR="00E676EC" w:rsidRPr="00A27CA2">
        <w:rPr>
          <w:rFonts w:ascii="Cambria" w:hAnsi="Cambria"/>
          <w:color w:val="000000" w:themeColor="text1"/>
          <w:sz w:val="20"/>
          <w:szCs w:val="20"/>
          <w:lang w:val="es-VE"/>
        </w:rPr>
        <w:t>se ha protegido adecuadamente dicho derecho</w:t>
      </w:r>
      <w:r w:rsidR="00230BD8" w:rsidRPr="00A27CA2">
        <w:rPr>
          <w:rFonts w:ascii="Cambria" w:hAnsi="Cambria"/>
          <w:color w:val="000000" w:themeColor="text1"/>
          <w:sz w:val="20"/>
          <w:szCs w:val="20"/>
          <w:lang w:val="es-VE"/>
        </w:rPr>
        <w:t xml:space="preserve">. </w:t>
      </w:r>
    </w:p>
    <w:p w14:paraId="53A8612A" w14:textId="77777777" w:rsidR="00A27CA2" w:rsidRDefault="00A27CA2" w:rsidP="00A27CA2">
      <w:pPr>
        <w:pStyle w:val="ListParagraph"/>
        <w:rPr>
          <w:color w:val="000000" w:themeColor="text1"/>
          <w:sz w:val="20"/>
          <w:szCs w:val="20"/>
          <w:lang w:val="es-VE"/>
        </w:rPr>
      </w:pPr>
    </w:p>
    <w:p w14:paraId="7DA468E9" w14:textId="77777777" w:rsidR="00A27CA2" w:rsidRDefault="005C6936"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lang w:val="es-VE"/>
        </w:rPr>
      </w:pPr>
      <w:r w:rsidRPr="00A27CA2">
        <w:rPr>
          <w:rFonts w:ascii="Cambria" w:hAnsi="Cambria"/>
          <w:color w:val="000000" w:themeColor="text1"/>
          <w:sz w:val="20"/>
          <w:szCs w:val="20"/>
          <w:lang w:val="es-VE"/>
        </w:rPr>
        <w:t>En la etapa de fondo, a</w:t>
      </w:r>
      <w:r w:rsidR="00222955" w:rsidRPr="00A27CA2">
        <w:rPr>
          <w:rFonts w:ascii="Cambria" w:hAnsi="Cambria"/>
          <w:color w:val="000000" w:themeColor="text1"/>
          <w:sz w:val="20"/>
          <w:szCs w:val="20"/>
          <w:lang w:val="es-VE"/>
        </w:rPr>
        <w:t>greg</w:t>
      </w:r>
      <w:r w:rsidR="002D1426" w:rsidRPr="00A27CA2">
        <w:rPr>
          <w:rFonts w:ascii="Cambria" w:hAnsi="Cambria"/>
          <w:color w:val="000000" w:themeColor="text1"/>
          <w:sz w:val="20"/>
          <w:szCs w:val="20"/>
          <w:lang w:val="es-VE"/>
        </w:rPr>
        <w:t>a</w:t>
      </w:r>
      <w:r w:rsidR="00222955" w:rsidRPr="00A27CA2">
        <w:rPr>
          <w:rFonts w:ascii="Cambria" w:hAnsi="Cambria"/>
          <w:color w:val="000000" w:themeColor="text1"/>
          <w:sz w:val="20"/>
          <w:szCs w:val="20"/>
          <w:lang w:val="es-VE"/>
        </w:rPr>
        <w:t xml:space="preserve"> que los municipios “no solicitaron la representación y defensa de sus intereses por el Consejo de Defensa del Estado”, el cual, en los otros juicios en que sí intervino, “obtuvo sentencias favorables a los intereses de los municipios”.</w:t>
      </w:r>
      <w:r w:rsidR="00B446E4" w:rsidRPr="00A27CA2">
        <w:rPr>
          <w:rFonts w:ascii="Cambria" w:hAnsi="Cambria"/>
          <w:color w:val="000000" w:themeColor="text1"/>
          <w:sz w:val="20"/>
          <w:szCs w:val="20"/>
          <w:lang w:val="es-VE"/>
        </w:rPr>
        <w:t xml:space="preserve"> </w:t>
      </w:r>
      <w:r w:rsidR="002D1426" w:rsidRPr="00A27CA2">
        <w:rPr>
          <w:rFonts w:ascii="Cambria" w:hAnsi="Cambria"/>
          <w:color w:val="000000" w:themeColor="text1"/>
          <w:sz w:val="20"/>
          <w:szCs w:val="20"/>
          <w:lang w:val="es-VE"/>
        </w:rPr>
        <w:t>E</w:t>
      </w:r>
      <w:r w:rsidR="00B446E4" w:rsidRPr="00A27CA2">
        <w:rPr>
          <w:rFonts w:ascii="Cambria" w:hAnsi="Cambria"/>
          <w:color w:val="000000" w:themeColor="text1"/>
          <w:sz w:val="20"/>
          <w:szCs w:val="20"/>
          <w:lang w:val="es-VE"/>
        </w:rPr>
        <w:t>n este sentido</w:t>
      </w:r>
      <w:r w:rsidR="002D1426" w:rsidRPr="00A27CA2">
        <w:rPr>
          <w:rFonts w:ascii="Cambria" w:hAnsi="Cambria"/>
          <w:color w:val="000000" w:themeColor="text1"/>
          <w:sz w:val="20"/>
          <w:szCs w:val="20"/>
          <w:lang w:val="es-VE"/>
        </w:rPr>
        <w:t xml:space="preserve">, </w:t>
      </w:r>
      <w:r w:rsidR="00B446E4" w:rsidRPr="00A27CA2">
        <w:rPr>
          <w:rFonts w:ascii="Cambria" w:hAnsi="Cambria"/>
          <w:color w:val="000000" w:themeColor="text1"/>
          <w:sz w:val="20"/>
          <w:szCs w:val="20"/>
          <w:lang w:val="es-VE"/>
        </w:rPr>
        <w:t>“al no existir norma legal alguna que autorice el pago de las sumas de dinero a las que por su propia negligencia fueron condenados los municipios, no pudo el Estado-Fisco de Chile efectuar desembolso alguno, toda vez que, como se señaló el Fisco no fue parte en los juicios de que se trata, de lo que se infiere que las sentencias allí dictadas le son inoponibles en el ámbito de derecho interno”</w:t>
      </w:r>
      <w:r w:rsidR="000654B4">
        <w:rPr>
          <w:rStyle w:val="FootnoteReference"/>
          <w:rFonts w:ascii="Cambria" w:hAnsi="Cambria"/>
          <w:color w:val="000000" w:themeColor="text1"/>
          <w:sz w:val="20"/>
          <w:szCs w:val="20"/>
          <w:lang w:val="es-VE"/>
        </w:rPr>
        <w:footnoteReference w:id="10"/>
      </w:r>
      <w:r w:rsidR="00B446E4" w:rsidRPr="00A27CA2">
        <w:rPr>
          <w:rFonts w:ascii="Cambria" w:hAnsi="Cambria"/>
          <w:color w:val="000000" w:themeColor="text1"/>
          <w:sz w:val="20"/>
          <w:szCs w:val="20"/>
          <w:lang w:val="es-VE"/>
        </w:rPr>
        <w:t>.</w:t>
      </w:r>
      <w:r w:rsidR="000654B4" w:rsidRPr="00A27CA2">
        <w:rPr>
          <w:rFonts w:ascii="Cambria" w:hAnsi="Cambria"/>
          <w:color w:val="000000" w:themeColor="text1"/>
          <w:sz w:val="20"/>
          <w:szCs w:val="20"/>
          <w:lang w:val="es-VE"/>
        </w:rPr>
        <w:t xml:space="preserve"> Por otro lado, “en lo que al ámbito administrativo nacional concierne, </w:t>
      </w:r>
      <w:r w:rsidR="00596857" w:rsidRPr="00A27CA2">
        <w:rPr>
          <w:rFonts w:ascii="Cambria" w:hAnsi="Cambria"/>
          <w:color w:val="000000" w:themeColor="text1"/>
          <w:sz w:val="20"/>
          <w:szCs w:val="20"/>
          <w:lang w:val="es-VE"/>
        </w:rPr>
        <w:t>[</w:t>
      </w:r>
      <w:r w:rsidR="00871889" w:rsidRPr="00A27CA2">
        <w:rPr>
          <w:rFonts w:ascii="Cambria" w:hAnsi="Cambria"/>
          <w:color w:val="000000" w:themeColor="text1"/>
          <w:sz w:val="20"/>
          <w:szCs w:val="20"/>
          <w:lang w:val="es-VE"/>
        </w:rPr>
        <w:t>los docentes</w:t>
      </w:r>
      <w:r w:rsidR="00596857" w:rsidRPr="00A27CA2">
        <w:rPr>
          <w:rFonts w:ascii="Cambria" w:hAnsi="Cambria"/>
          <w:color w:val="000000" w:themeColor="text1"/>
          <w:sz w:val="20"/>
          <w:szCs w:val="20"/>
          <w:lang w:val="es-VE"/>
        </w:rPr>
        <w:t>]</w:t>
      </w:r>
      <w:r w:rsidR="000654B4" w:rsidRPr="00A27CA2">
        <w:rPr>
          <w:rFonts w:ascii="Cambria" w:hAnsi="Cambria"/>
          <w:color w:val="000000" w:themeColor="text1"/>
          <w:sz w:val="20"/>
          <w:szCs w:val="20"/>
          <w:lang w:val="es-VE"/>
        </w:rPr>
        <w:t xml:space="preserve"> no ha</w:t>
      </w:r>
      <w:r w:rsidR="00871889" w:rsidRPr="00A27CA2">
        <w:rPr>
          <w:rFonts w:ascii="Cambria" w:hAnsi="Cambria"/>
          <w:color w:val="000000" w:themeColor="text1"/>
          <w:sz w:val="20"/>
          <w:szCs w:val="20"/>
          <w:lang w:val="es-VE"/>
        </w:rPr>
        <w:t>n</w:t>
      </w:r>
      <w:r w:rsidR="000654B4" w:rsidRPr="00A27CA2">
        <w:rPr>
          <w:rFonts w:ascii="Cambria" w:hAnsi="Cambria"/>
          <w:color w:val="000000" w:themeColor="text1"/>
          <w:sz w:val="20"/>
          <w:szCs w:val="20"/>
          <w:lang w:val="es-VE"/>
        </w:rPr>
        <w:t xml:space="preserve"> demostrado en el juicio haber realizado las acciones necesarias tendientes a que los municipios obtuviesen del Fisco los recursos económicos necesarios para cumplir a cabalidad la sentencia dictada”</w:t>
      </w:r>
      <w:r w:rsidR="000654B4">
        <w:rPr>
          <w:rStyle w:val="FootnoteReference"/>
          <w:rFonts w:ascii="Cambria" w:hAnsi="Cambria"/>
          <w:color w:val="000000" w:themeColor="text1"/>
          <w:sz w:val="20"/>
          <w:szCs w:val="20"/>
          <w:lang w:val="es-VE"/>
        </w:rPr>
        <w:footnoteReference w:id="11"/>
      </w:r>
      <w:r w:rsidR="000654B4" w:rsidRPr="00A27CA2">
        <w:rPr>
          <w:rFonts w:ascii="Cambria" w:hAnsi="Cambria"/>
          <w:color w:val="000000" w:themeColor="text1"/>
          <w:sz w:val="20"/>
          <w:szCs w:val="20"/>
          <w:lang w:val="es-VE"/>
        </w:rPr>
        <w:t xml:space="preserve">. </w:t>
      </w:r>
    </w:p>
    <w:p w14:paraId="2759BEFD" w14:textId="77777777" w:rsidR="00A27CA2" w:rsidRDefault="00A27CA2" w:rsidP="00A27CA2">
      <w:pPr>
        <w:pStyle w:val="ListParagraph"/>
        <w:rPr>
          <w:color w:val="000000" w:themeColor="text1"/>
          <w:sz w:val="20"/>
          <w:szCs w:val="20"/>
          <w:lang w:val="es-VE"/>
        </w:rPr>
      </w:pPr>
    </w:p>
    <w:p w14:paraId="3900ABA1" w14:textId="77777777" w:rsidR="00A27CA2" w:rsidRPr="00A27CA2" w:rsidRDefault="00885470"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lang w:val="es-VE"/>
        </w:rPr>
      </w:pPr>
      <w:r w:rsidRPr="00A27CA2">
        <w:rPr>
          <w:rFonts w:ascii="Cambria" w:hAnsi="Cambria"/>
          <w:color w:val="000000" w:themeColor="text1"/>
          <w:sz w:val="20"/>
          <w:szCs w:val="20"/>
          <w:lang w:val="es-VE"/>
        </w:rPr>
        <w:t>Aleg</w:t>
      </w:r>
      <w:r w:rsidR="002D1426" w:rsidRPr="00A27CA2">
        <w:rPr>
          <w:rFonts w:ascii="Cambria" w:hAnsi="Cambria"/>
          <w:color w:val="000000" w:themeColor="text1"/>
          <w:sz w:val="20"/>
          <w:szCs w:val="20"/>
          <w:lang w:val="es-VE"/>
        </w:rPr>
        <w:t>a</w:t>
      </w:r>
      <w:r w:rsidRPr="00A27CA2">
        <w:rPr>
          <w:rFonts w:ascii="Cambria" w:hAnsi="Cambria"/>
          <w:color w:val="000000" w:themeColor="text1"/>
          <w:sz w:val="20"/>
          <w:szCs w:val="20"/>
          <w:lang w:val="es-VE"/>
        </w:rPr>
        <w:t xml:space="preserve"> que el Estado chileno </w:t>
      </w:r>
      <w:r w:rsidR="008A221C" w:rsidRPr="00A27CA2">
        <w:rPr>
          <w:rFonts w:ascii="Cambria" w:hAnsi="Cambria"/>
          <w:color w:val="000000" w:themeColor="text1"/>
          <w:sz w:val="20"/>
          <w:szCs w:val="20"/>
          <w:lang w:val="es-VE"/>
        </w:rPr>
        <w:t>garantiza</w:t>
      </w:r>
      <w:r w:rsidRPr="00A27CA2">
        <w:rPr>
          <w:rFonts w:ascii="Cambria" w:hAnsi="Cambria"/>
          <w:color w:val="000000" w:themeColor="text1"/>
          <w:sz w:val="20"/>
          <w:szCs w:val="20"/>
          <w:lang w:val="es-VE"/>
        </w:rPr>
        <w:t xml:space="preserve"> </w:t>
      </w:r>
      <w:r w:rsidRPr="00A27CA2">
        <w:rPr>
          <w:rFonts w:ascii="Cambria" w:hAnsi="Cambria"/>
          <w:b/>
          <w:color w:val="000000" w:themeColor="text1"/>
          <w:sz w:val="20"/>
          <w:szCs w:val="20"/>
          <w:lang w:val="es-VE"/>
        </w:rPr>
        <w:t>recursos efectivos</w:t>
      </w:r>
      <w:r w:rsidR="008A221C" w:rsidRPr="00A27CA2">
        <w:rPr>
          <w:rFonts w:ascii="Cambria" w:hAnsi="Cambria"/>
          <w:b/>
          <w:color w:val="000000" w:themeColor="text1"/>
          <w:sz w:val="20"/>
          <w:szCs w:val="20"/>
          <w:lang w:val="es-VE"/>
        </w:rPr>
        <w:t xml:space="preserve"> </w:t>
      </w:r>
      <w:r w:rsidR="008A221C" w:rsidRPr="00A27CA2">
        <w:rPr>
          <w:rFonts w:ascii="Cambria" w:hAnsi="Cambria"/>
          <w:color w:val="000000" w:themeColor="text1"/>
          <w:sz w:val="20"/>
          <w:szCs w:val="20"/>
          <w:lang w:val="es-VE"/>
        </w:rPr>
        <w:t xml:space="preserve">y el </w:t>
      </w:r>
      <w:r w:rsidR="008A221C" w:rsidRPr="00A27CA2">
        <w:rPr>
          <w:rFonts w:ascii="Cambria" w:hAnsi="Cambria"/>
          <w:b/>
          <w:color w:val="000000" w:themeColor="text1"/>
          <w:sz w:val="20"/>
          <w:szCs w:val="20"/>
          <w:lang w:val="es-VE"/>
        </w:rPr>
        <w:t>debido proceso</w:t>
      </w:r>
      <w:r w:rsidRPr="00A27CA2">
        <w:rPr>
          <w:rFonts w:ascii="Cambria" w:hAnsi="Cambria"/>
          <w:color w:val="000000" w:themeColor="text1"/>
          <w:sz w:val="20"/>
          <w:szCs w:val="20"/>
          <w:lang w:val="es-VE"/>
        </w:rPr>
        <w:t xml:space="preserve">, pues “cuenta con medios y mecanismos para hacer cumplir y ejecutar las resoluciones judiciales que se dicten”, pero estos “deben ser utilizados en tiempo y forma por los demandantes, y evitar procesos inactivos o abandonados por años”, lo cual habría ocurrido en algunas de las causas. </w:t>
      </w:r>
      <w:r w:rsidR="008A221C" w:rsidRPr="00A27CA2">
        <w:rPr>
          <w:rFonts w:ascii="Cambria" w:hAnsi="Cambria"/>
          <w:color w:val="000000" w:themeColor="text1"/>
          <w:sz w:val="20"/>
          <w:szCs w:val="20"/>
          <w:lang w:val="es-VE"/>
        </w:rPr>
        <w:t>Asimismo</w:t>
      </w:r>
      <w:r w:rsidR="002D1426" w:rsidRPr="00A27CA2">
        <w:rPr>
          <w:rFonts w:ascii="Cambria" w:hAnsi="Cambria"/>
          <w:color w:val="000000" w:themeColor="text1"/>
          <w:sz w:val="20"/>
          <w:szCs w:val="20"/>
          <w:lang w:val="es-VE"/>
        </w:rPr>
        <w:t>, afirma</w:t>
      </w:r>
      <w:r w:rsidRPr="00A27CA2">
        <w:rPr>
          <w:rFonts w:ascii="Cambria" w:hAnsi="Cambria"/>
          <w:color w:val="000000" w:themeColor="text1"/>
          <w:sz w:val="20"/>
          <w:szCs w:val="20"/>
          <w:lang w:val="es-VE"/>
        </w:rPr>
        <w:t xml:space="preserve"> que el Poder Judicial goza de plena autonomía e independencia</w:t>
      </w:r>
      <w:r w:rsidR="00D6032E" w:rsidRPr="00A27CA2">
        <w:rPr>
          <w:rFonts w:ascii="Cambria" w:hAnsi="Cambria"/>
          <w:color w:val="000000" w:themeColor="text1"/>
          <w:sz w:val="20"/>
          <w:szCs w:val="20"/>
          <w:lang w:val="es-VE"/>
        </w:rPr>
        <w:t xml:space="preserve"> y que “la demora en poner término a la etapa de cumplimiento [de estos casos] no es imputable al Estado” </w:t>
      </w:r>
      <w:r w:rsidR="008A221C" w:rsidRPr="00A27CA2">
        <w:rPr>
          <w:rFonts w:ascii="Cambria" w:hAnsi="Cambria"/>
          <w:color w:val="000000" w:themeColor="text1"/>
          <w:sz w:val="20"/>
          <w:szCs w:val="20"/>
          <w:lang w:val="es-VE"/>
        </w:rPr>
        <w:t>en cuanto es</w:t>
      </w:r>
      <w:r w:rsidR="00D6032E" w:rsidRPr="00A27CA2">
        <w:rPr>
          <w:rFonts w:ascii="Cambria" w:hAnsi="Cambria"/>
          <w:color w:val="000000" w:themeColor="text1"/>
          <w:sz w:val="20"/>
          <w:szCs w:val="20"/>
          <w:lang w:val="es-VE"/>
        </w:rPr>
        <w:t xml:space="preserve">to depende de la actividad procesal de las partes. </w:t>
      </w:r>
    </w:p>
    <w:p w14:paraId="69C51069" w14:textId="77777777" w:rsidR="00E359DA" w:rsidRDefault="00AD3AD9"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000000" w:themeColor="text1"/>
          <w:sz w:val="20"/>
          <w:szCs w:val="20"/>
          <w:lang w:val="es-VE"/>
        </w:rPr>
      </w:pPr>
      <w:r w:rsidRPr="00A27CA2">
        <w:rPr>
          <w:rFonts w:ascii="Cambria" w:hAnsi="Cambria"/>
          <w:color w:val="000000" w:themeColor="text1"/>
          <w:sz w:val="20"/>
          <w:szCs w:val="20"/>
          <w:lang w:val="es-VE"/>
        </w:rPr>
        <w:t>Sobre</w:t>
      </w:r>
      <w:r w:rsidR="00F628E2" w:rsidRPr="00A27CA2">
        <w:rPr>
          <w:rFonts w:ascii="Cambria" w:hAnsi="Cambria"/>
          <w:color w:val="000000" w:themeColor="text1"/>
          <w:sz w:val="20"/>
          <w:szCs w:val="20"/>
          <w:lang w:val="es-VE"/>
        </w:rPr>
        <w:t xml:space="preserve"> </w:t>
      </w:r>
      <w:r w:rsidR="000B7EC6" w:rsidRPr="00A27CA2">
        <w:rPr>
          <w:rFonts w:ascii="Cambria" w:hAnsi="Cambria"/>
          <w:color w:val="000000" w:themeColor="text1"/>
          <w:sz w:val="20"/>
          <w:szCs w:val="20"/>
          <w:lang w:val="es-VE"/>
        </w:rPr>
        <w:t>los dos</w:t>
      </w:r>
      <w:r w:rsidR="00F628E2" w:rsidRPr="00A27CA2">
        <w:rPr>
          <w:rFonts w:ascii="Cambria" w:hAnsi="Cambria"/>
          <w:color w:val="000000" w:themeColor="text1"/>
          <w:sz w:val="20"/>
          <w:szCs w:val="20"/>
          <w:lang w:val="es-VE"/>
        </w:rPr>
        <w:t xml:space="preserve"> proceso</w:t>
      </w:r>
      <w:r w:rsidR="000B7EC6" w:rsidRPr="00A27CA2">
        <w:rPr>
          <w:rFonts w:ascii="Cambria" w:hAnsi="Cambria"/>
          <w:color w:val="000000" w:themeColor="text1"/>
          <w:sz w:val="20"/>
          <w:szCs w:val="20"/>
          <w:lang w:val="es-VE"/>
        </w:rPr>
        <w:t xml:space="preserve">s </w:t>
      </w:r>
      <w:r w:rsidRPr="00A27CA2">
        <w:rPr>
          <w:rFonts w:ascii="Cambria" w:hAnsi="Cambria"/>
          <w:color w:val="000000" w:themeColor="text1"/>
          <w:sz w:val="20"/>
          <w:szCs w:val="20"/>
          <w:lang w:val="es-VE"/>
        </w:rPr>
        <w:t xml:space="preserve">en los que se ha </w:t>
      </w:r>
      <w:r w:rsidR="00E676EC" w:rsidRPr="00A27CA2">
        <w:rPr>
          <w:rFonts w:ascii="Cambria" w:hAnsi="Cambria"/>
          <w:color w:val="000000" w:themeColor="text1"/>
          <w:sz w:val="20"/>
          <w:szCs w:val="20"/>
          <w:lang w:val="es-VE"/>
        </w:rPr>
        <w:t>pagado</w:t>
      </w:r>
      <w:r w:rsidRPr="00A27CA2">
        <w:rPr>
          <w:rFonts w:ascii="Cambria" w:hAnsi="Cambria"/>
          <w:color w:val="000000" w:themeColor="text1"/>
          <w:sz w:val="20"/>
          <w:szCs w:val="20"/>
          <w:lang w:val="es-VE"/>
        </w:rPr>
        <w:t xml:space="preserve"> parcialmente la deuda adjudicada,</w:t>
      </w:r>
      <w:r w:rsidR="000B7EC6" w:rsidRPr="00A27CA2">
        <w:rPr>
          <w:rFonts w:ascii="Cambria" w:hAnsi="Cambria"/>
          <w:color w:val="000000" w:themeColor="text1"/>
          <w:sz w:val="20"/>
          <w:szCs w:val="20"/>
          <w:lang w:val="es-VE"/>
        </w:rPr>
        <w:t xml:space="preserve"> </w:t>
      </w:r>
      <w:r w:rsidR="00F628E2" w:rsidRPr="00A27CA2">
        <w:rPr>
          <w:rFonts w:ascii="Cambria" w:hAnsi="Cambria"/>
          <w:color w:val="000000" w:themeColor="text1"/>
          <w:sz w:val="20"/>
          <w:szCs w:val="20"/>
          <w:lang w:val="es-VE"/>
        </w:rPr>
        <w:t>“</w:t>
      </w:r>
      <w:r w:rsidR="00606D27" w:rsidRPr="00A27CA2">
        <w:rPr>
          <w:rFonts w:ascii="Cambria" w:hAnsi="Cambria"/>
          <w:color w:val="000000" w:themeColor="text1"/>
          <w:sz w:val="20"/>
          <w:szCs w:val="20"/>
          <w:lang w:val="es-VE"/>
        </w:rPr>
        <w:t xml:space="preserve">Benavides </w:t>
      </w:r>
      <w:r w:rsidR="00F628E2" w:rsidRPr="00A27CA2">
        <w:rPr>
          <w:rFonts w:ascii="Cambria" w:hAnsi="Cambria"/>
          <w:color w:val="000000" w:themeColor="text1"/>
          <w:sz w:val="20"/>
          <w:szCs w:val="20"/>
          <w:lang w:val="es-VE"/>
        </w:rPr>
        <w:t>y otros contra Municipalidad de Chañaral”</w:t>
      </w:r>
      <w:r w:rsidRPr="00A27CA2">
        <w:rPr>
          <w:rFonts w:ascii="Cambria" w:hAnsi="Cambria"/>
          <w:color w:val="000000" w:themeColor="text1"/>
          <w:sz w:val="20"/>
          <w:szCs w:val="20"/>
          <w:lang w:val="es-VE"/>
        </w:rPr>
        <w:t xml:space="preserve"> y “Ramírez y otros contra Municipalidad de Vallenar”</w:t>
      </w:r>
      <w:r w:rsidR="00F628E2" w:rsidRPr="00A27CA2">
        <w:rPr>
          <w:rFonts w:ascii="Cambria" w:hAnsi="Cambria"/>
          <w:color w:val="000000" w:themeColor="text1"/>
          <w:sz w:val="20"/>
          <w:szCs w:val="20"/>
          <w:lang w:val="es-VE"/>
        </w:rPr>
        <w:t>,</w:t>
      </w:r>
      <w:r w:rsidRPr="00A27CA2">
        <w:rPr>
          <w:rFonts w:ascii="Cambria" w:hAnsi="Cambria"/>
          <w:color w:val="000000" w:themeColor="text1"/>
          <w:sz w:val="20"/>
          <w:szCs w:val="20"/>
          <w:lang w:val="es-VE"/>
        </w:rPr>
        <w:t xml:space="preserve"> en las cuales se acordó el pago de $350.000.000 y </w:t>
      </w:r>
      <w:r w:rsidR="00606D27" w:rsidRPr="00A27CA2">
        <w:rPr>
          <w:rFonts w:ascii="Cambria" w:hAnsi="Cambria"/>
          <w:color w:val="000000" w:themeColor="text1"/>
          <w:sz w:val="20"/>
          <w:szCs w:val="20"/>
          <w:lang w:val="es-VE"/>
        </w:rPr>
        <w:t>$</w:t>
      </w:r>
      <w:r w:rsidRPr="00A27CA2">
        <w:rPr>
          <w:rFonts w:ascii="Cambria" w:hAnsi="Cambria"/>
          <w:color w:val="000000" w:themeColor="text1"/>
          <w:sz w:val="20"/>
          <w:szCs w:val="20"/>
          <w:lang w:val="es-VE"/>
        </w:rPr>
        <w:t xml:space="preserve">1.000.000.000 pesos chilenos, respectivamente, </w:t>
      </w:r>
      <w:r w:rsidR="002D1426" w:rsidRPr="00A27CA2">
        <w:rPr>
          <w:rFonts w:ascii="Cambria" w:hAnsi="Cambria"/>
          <w:color w:val="000000" w:themeColor="text1"/>
          <w:sz w:val="20"/>
          <w:szCs w:val="20"/>
          <w:lang w:val="es-VE"/>
        </w:rPr>
        <w:t>señala</w:t>
      </w:r>
      <w:r w:rsidR="00F628E2" w:rsidRPr="00A27CA2">
        <w:rPr>
          <w:rFonts w:ascii="Cambria" w:hAnsi="Cambria"/>
          <w:color w:val="000000" w:themeColor="text1"/>
          <w:sz w:val="20"/>
          <w:szCs w:val="20"/>
          <w:lang w:val="es-VE"/>
        </w:rPr>
        <w:t xml:space="preserve"> que </w:t>
      </w:r>
      <w:r w:rsidRPr="00A27CA2">
        <w:rPr>
          <w:rFonts w:ascii="Cambria" w:hAnsi="Cambria"/>
          <w:color w:val="000000" w:themeColor="text1"/>
          <w:sz w:val="20"/>
          <w:szCs w:val="20"/>
          <w:lang w:val="es-VE"/>
        </w:rPr>
        <w:t>los c</w:t>
      </w:r>
      <w:r w:rsidR="00F628E2" w:rsidRPr="00A27CA2">
        <w:rPr>
          <w:rFonts w:ascii="Cambria" w:hAnsi="Cambria"/>
          <w:color w:val="000000" w:themeColor="text1"/>
          <w:sz w:val="20"/>
          <w:szCs w:val="20"/>
          <w:lang w:val="es-VE"/>
        </w:rPr>
        <w:t>onvenio</w:t>
      </w:r>
      <w:r w:rsidRPr="00A27CA2">
        <w:rPr>
          <w:rFonts w:ascii="Cambria" w:hAnsi="Cambria"/>
          <w:color w:val="000000" w:themeColor="text1"/>
          <w:sz w:val="20"/>
          <w:szCs w:val="20"/>
          <w:lang w:val="es-VE"/>
        </w:rPr>
        <w:t>s</w:t>
      </w:r>
      <w:r w:rsidR="00F628E2" w:rsidRPr="00A27CA2">
        <w:rPr>
          <w:rFonts w:ascii="Cambria" w:hAnsi="Cambria"/>
          <w:color w:val="000000" w:themeColor="text1"/>
          <w:sz w:val="20"/>
          <w:szCs w:val="20"/>
          <w:lang w:val="es-VE"/>
        </w:rPr>
        <w:t xml:space="preserve"> de </w:t>
      </w:r>
      <w:r w:rsidRPr="00A27CA2">
        <w:rPr>
          <w:rFonts w:ascii="Cambria" w:hAnsi="Cambria"/>
          <w:color w:val="000000" w:themeColor="text1"/>
          <w:sz w:val="20"/>
          <w:szCs w:val="20"/>
          <w:lang w:val="es-VE"/>
        </w:rPr>
        <w:t>p</w:t>
      </w:r>
      <w:r w:rsidR="00F628E2" w:rsidRPr="00A27CA2">
        <w:rPr>
          <w:rFonts w:ascii="Cambria" w:hAnsi="Cambria"/>
          <w:color w:val="000000" w:themeColor="text1"/>
          <w:sz w:val="20"/>
          <w:szCs w:val="20"/>
          <w:lang w:val="es-VE"/>
        </w:rPr>
        <w:t xml:space="preserve">ago </w:t>
      </w:r>
      <w:r w:rsidRPr="00A27CA2">
        <w:rPr>
          <w:rFonts w:ascii="Cambria" w:hAnsi="Cambria"/>
          <w:color w:val="000000" w:themeColor="text1"/>
          <w:sz w:val="20"/>
          <w:szCs w:val="20"/>
          <w:lang w:val="es-VE"/>
        </w:rPr>
        <w:t xml:space="preserve">fueron acordados </w:t>
      </w:r>
      <w:r w:rsidR="002533EA" w:rsidRPr="00A27CA2">
        <w:rPr>
          <w:rFonts w:ascii="Cambria" w:hAnsi="Cambria"/>
          <w:color w:val="000000" w:themeColor="text1"/>
          <w:sz w:val="20"/>
          <w:szCs w:val="20"/>
          <w:lang w:val="es-VE"/>
        </w:rPr>
        <w:t>a cambio de una renuncia por parte de las y los profesores de su derecho de interponer demandas o embargos adicionales sobre los bienes de la</w:t>
      </w:r>
      <w:r w:rsidRPr="00A27CA2">
        <w:rPr>
          <w:rFonts w:ascii="Cambria" w:hAnsi="Cambria"/>
          <w:color w:val="000000" w:themeColor="text1"/>
          <w:sz w:val="20"/>
          <w:szCs w:val="20"/>
          <w:lang w:val="es-VE"/>
        </w:rPr>
        <w:t>s</w:t>
      </w:r>
      <w:r w:rsidR="002533EA" w:rsidRPr="00A27CA2">
        <w:rPr>
          <w:rFonts w:ascii="Cambria" w:hAnsi="Cambria"/>
          <w:color w:val="000000" w:themeColor="text1"/>
          <w:sz w:val="20"/>
          <w:szCs w:val="20"/>
          <w:lang w:val="es-VE"/>
        </w:rPr>
        <w:t xml:space="preserve"> Municipalidad</w:t>
      </w:r>
      <w:r w:rsidRPr="00A27CA2">
        <w:rPr>
          <w:rFonts w:ascii="Cambria" w:hAnsi="Cambria"/>
          <w:color w:val="000000" w:themeColor="text1"/>
          <w:sz w:val="20"/>
          <w:szCs w:val="20"/>
          <w:lang w:val="es-VE"/>
        </w:rPr>
        <w:t>es</w:t>
      </w:r>
      <w:r w:rsidR="002533EA" w:rsidRPr="00A27CA2">
        <w:rPr>
          <w:rFonts w:ascii="Cambria" w:hAnsi="Cambria"/>
          <w:color w:val="000000" w:themeColor="text1"/>
          <w:sz w:val="20"/>
          <w:szCs w:val="20"/>
          <w:lang w:val="es-VE"/>
        </w:rPr>
        <w:t xml:space="preserve"> para </w:t>
      </w:r>
      <w:r w:rsidR="00E676EC" w:rsidRPr="00A27CA2">
        <w:rPr>
          <w:rFonts w:ascii="Cambria" w:hAnsi="Cambria"/>
          <w:color w:val="000000" w:themeColor="text1"/>
          <w:sz w:val="20"/>
          <w:szCs w:val="20"/>
          <w:lang w:val="es-VE"/>
        </w:rPr>
        <w:t>recuperar</w:t>
      </w:r>
      <w:r w:rsidR="002533EA" w:rsidRPr="00A27CA2">
        <w:rPr>
          <w:rFonts w:ascii="Cambria" w:hAnsi="Cambria"/>
          <w:color w:val="000000" w:themeColor="text1"/>
          <w:sz w:val="20"/>
          <w:szCs w:val="20"/>
          <w:lang w:val="es-VE"/>
        </w:rPr>
        <w:t xml:space="preserve"> la deuda restante. </w:t>
      </w:r>
      <w:r w:rsidR="002D1426" w:rsidRPr="00A27CA2">
        <w:rPr>
          <w:rFonts w:ascii="Cambria" w:hAnsi="Cambria"/>
          <w:color w:val="000000" w:themeColor="text1"/>
          <w:sz w:val="20"/>
          <w:szCs w:val="20"/>
          <w:lang w:val="es-VE"/>
        </w:rPr>
        <w:t>E</w:t>
      </w:r>
      <w:r w:rsidR="00606D27" w:rsidRPr="00A27CA2">
        <w:rPr>
          <w:rFonts w:ascii="Cambria" w:hAnsi="Cambria"/>
          <w:color w:val="000000" w:themeColor="text1"/>
          <w:sz w:val="20"/>
          <w:szCs w:val="20"/>
          <w:lang w:val="es-VE"/>
        </w:rPr>
        <w:t>n</w:t>
      </w:r>
      <w:r w:rsidRPr="00A27CA2">
        <w:rPr>
          <w:rFonts w:ascii="Cambria" w:hAnsi="Cambria"/>
          <w:color w:val="000000" w:themeColor="text1"/>
          <w:sz w:val="20"/>
          <w:szCs w:val="20"/>
          <w:lang w:val="es-VE"/>
        </w:rPr>
        <w:t xml:space="preserve"> ambos</w:t>
      </w:r>
      <w:r w:rsidR="00606D27" w:rsidRPr="00A27CA2">
        <w:rPr>
          <w:rFonts w:ascii="Cambria" w:hAnsi="Cambria"/>
          <w:color w:val="000000" w:themeColor="text1"/>
          <w:sz w:val="20"/>
          <w:szCs w:val="20"/>
          <w:lang w:val="es-VE"/>
        </w:rPr>
        <w:t>,</w:t>
      </w:r>
      <w:r w:rsidR="002533EA" w:rsidRPr="00A27CA2">
        <w:rPr>
          <w:rFonts w:ascii="Cambria" w:hAnsi="Cambria"/>
          <w:color w:val="000000" w:themeColor="text1"/>
          <w:sz w:val="20"/>
          <w:szCs w:val="20"/>
          <w:lang w:val="es-VE"/>
        </w:rPr>
        <w:t xml:space="preserve"> “con respecto al saldo adeudado […] se reservaron el derecho a demandar al Fisco de Chile o cualquier otro organismo o entidad pública, de acuerdo con [la ley interna]”. </w:t>
      </w:r>
      <w:r w:rsidR="002D1426" w:rsidRPr="00A27CA2">
        <w:rPr>
          <w:rFonts w:ascii="Cambria" w:hAnsi="Cambria"/>
          <w:color w:val="000000" w:themeColor="text1"/>
          <w:sz w:val="20"/>
          <w:szCs w:val="20"/>
          <w:lang w:val="es-VE"/>
        </w:rPr>
        <w:t>D</w:t>
      </w:r>
      <w:r w:rsidR="002533EA" w:rsidRPr="00A27CA2">
        <w:rPr>
          <w:rFonts w:ascii="Cambria" w:hAnsi="Cambria"/>
          <w:color w:val="000000" w:themeColor="text1"/>
          <w:sz w:val="20"/>
          <w:szCs w:val="20"/>
          <w:lang w:val="es-VE"/>
        </w:rPr>
        <w:t xml:space="preserve">icha cláusula, expresamente excluiría el derecho de las y los profesores de demandar al Estado chileno </w:t>
      </w:r>
      <w:r w:rsidR="008A221C" w:rsidRPr="00A27CA2">
        <w:rPr>
          <w:rFonts w:ascii="Cambria" w:hAnsi="Cambria"/>
          <w:color w:val="000000" w:themeColor="text1"/>
          <w:sz w:val="20"/>
          <w:szCs w:val="20"/>
          <w:lang w:val="es-VE"/>
        </w:rPr>
        <w:t>en el plano internacional</w:t>
      </w:r>
      <w:r w:rsidR="002533EA" w:rsidRPr="00A27CA2">
        <w:rPr>
          <w:rFonts w:ascii="Cambria" w:hAnsi="Cambria"/>
          <w:color w:val="000000" w:themeColor="text1"/>
          <w:sz w:val="20"/>
          <w:szCs w:val="20"/>
          <w:lang w:val="es-VE"/>
        </w:rPr>
        <w:t xml:space="preserve">, pues hace referencia explícita y única a las disposiciones de ley interna (sin perjuicio de que la petición </w:t>
      </w:r>
      <w:r w:rsidR="000B7EC6" w:rsidRPr="00A27CA2">
        <w:rPr>
          <w:rFonts w:ascii="Cambria" w:hAnsi="Cambria"/>
          <w:color w:val="000000" w:themeColor="text1"/>
          <w:sz w:val="20"/>
          <w:szCs w:val="20"/>
          <w:lang w:val="es-VE"/>
        </w:rPr>
        <w:t>inicial de Chañaral</w:t>
      </w:r>
      <w:r w:rsidR="002533EA" w:rsidRPr="00A27CA2">
        <w:rPr>
          <w:rFonts w:ascii="Cambria" w:hAnsi="Cambria"/>
          <w:color w:val="000000" w:themeColor="text1"/>
          <w:sz w:val="20"/>
          <w:szCs w:val="20"/>
          <w:lang w:val="es-VE"/>
        </w:rPr>
        <w:t xml:space="preserve"> se presentó</w:t>
      </w:r>
      <w:r w:rsidR="000B7EC6" w:rsidRPr="00A27CA2">
        <w:rPr>
          <w:rFonts w:ascii="Cambria" w:hAnsi="Cambria"/>
          <w:color w:val="000000" w:themeColor="text1"/>
          <w:sz w:val="20"/>
          <w:szCs w:val="20"/>
          <w:lang w:val="es-VE"/>
        </w:rPr>
        <w:t xml:space="preserve"> a la CIDH</w:t>
      </w:r>
      <w:r w:rsidR="002533EA" w:rsidRPr="00A27CA2">
        <w:rPr>
          <w:rFonts w:ascii="Cambria" w:hAnsi="Cambria"/>
          <w:color w:val="000000" w:themeColor="text1"/>
          <w:sz w:val="20"/>
          <w:szCs w:val="20"/>
          <w:lang w:val="es-VE"/>
        </w:rPr>
        <w:t xml:space="preserve"> en 2005</w:t>
      </w:r>
      <w:r w:rsidRPr="00A27CA2">
        <w:rPr>
          <w:rFonts w:ascii="Cambria" w:hAnsi="Cambria"/>
          <w:color w:val="000000" w:themeColor="text1"/>
          <w:sz w:val="20"/>
          <w:szCs w:val="20"/>
          <w:lang w:val="es-VE"/>
        </w:rPr>
        <w:t xml:space="preserve">, y el convenio de pago </w:t>
      </w:r>
      <w:r w:rsidR="00606D27" w:rsidRPr="00A27CA2">
        <w:rPr>
          <w:rFonts w:ascii="Cambria" w:hAnsi="Cambria"/>
          <w:color w:val="000000" w:themeColor="text1"/>
          <w:sz w:val="20"/>
          <w:szCs w:val="20"/>
          <w:lang w:val="es-VE"/>
        </w:rPr>
        <w:t>se</w:t>
      </w:r>
      <w:r w:rsidRPr="00A27CA2">
        <w:rPr>
          <w:rFonts w:ascii="Cambria" w:hAnsi="Cambria"/>
          <w:color w:val="000000" w:themeColor="text1"/>
          <w:sz w:val="20"/>
          <w:szCs w:val="20"/>
          <w:lang w:val="es-VE"/>
        </w:rPr>
        <w:t xml:space="preserve"> acord</w:t>
      </w:r>
      <w:r w:rsidR="00606D27" w:rsidRPr="00A27CA2">
        <w:rPr>
          <w:rFonts w:ascii="Cambria" w:hAnsi="Cambria"/>
          <w:color w:val="000000" w:themeColor="text1"/>
          <w:sz w:val="20"/>
          <w:szCs w:val="20"/>
          <w:lang w:val="es-VE"/>
        </w:rPr>
        <w:t>ó</w:t>
      </w:r>
      <w:r w:rsidRPr="00A27CA2">
        <w:rPr>
          <w:rFonts w:ascii="Cambria" w:hAnsi="Cambria"/>
          <w:color w:val="000000" w:themeColor="text1"/>
          <w:sz w:val="20"/>
          <w:szCs w:val="20"/>
          <w:lang w:val="es-VE"/>
        </w:rPr>
        <w:t xml:space="preserve"> en 2008</w:t>
      </w:r>
      <w:r w:rsidR="002533EA" w:rsidRPr="00A27CA2">
        <w:rPr>
          <w:rFonts w:ascii="Cambria" w:hAnsi="Cambria"/>
          <w:color w:val="000000" w:themeColor="text1"/>
          <w:sz w:val="20"/>
          <w:szCs w:val="20"/>
          <w:lang w:val="es-VE"/>
        </w:rPr>
        <w:t xml:space="preserve">). </w:t>
      </w:r>
    </w:p>
    <w:p w14:paraId="48136C94" w14:textId="77777777" w:rsidR="00A27CA2" w:rsidRPr="00A27CA2" w:rsidRDefault="00A27CA2" w:rsidP="00A27CA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000000" w:themeColor="text1"/>
          <w:sz w:val="20"/>
          <w:szCs w:val="20"/>
          <w:lang w:val="es-VE"/>
        </w:rPr>
      </w:pPr>
    </w:p>
    <w:p w14:paraId="2C393AD7" w14:textId="77777777" w:rsidR="00E359DA" w:rsidRDefault="00E359DA" w:rsidP="00A27CA2">
      <w:pPr>
        <w:pStyle w:val="Heading1"/>
        <w:ind w:left="540" w:hanging="540"/>
      </w:pPr>
      <w:bookmarkStart w:id="9" w:name="_Toc532549544"/>
      <w:bookmarkStart w:id="10" w:name="_Toc5020337"/>
      <w:r w:rsidRPr="00E909AA">
        <w:t>DETERMINACIONES DE HECHO</w:t>
      </w:r>
      <w:bookmarkEnd w:id="9"/>
      <w:bookmarkEnd w:id="10"/>
    </w:p>
    <w:p w14:paraId="2A93121D" w14:textId="77777777" w:rsidR="00A27CA2" w:rsidRDefault="00A27CA2" w:rsidP="00953448">
      <w:pPr>
        <w:rPr>
          <w:b/>
          <w:sz w:val="20"/>
          <w:szCs w:val="20"/>
          <w:lang w:val="es-ES_tradnl"/>
        </w:rPr>
      </w:pPr>
    </w:p>
    <w:p w14:paraId="672AAB5D" w14:textId="77777777" w:rsidR="00E359DA" w:rsidRDefault="00E359DA" w:rsidP="00144082">
      <w:pPr>
        <w:pStyle w:val="Heading2"/>
        <w:keepN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s>
        <w:suppressAutoHyphens w:val="0"/>
        <w:ind w:hanging="1440"/>
        <w:jc w:val="both"/>
      </w:pPr>
      <w:bookmarkStart w:id="11" w:name="_Toc532549545"/>
      <w:bookmarkStart w:id="12" w:name="_Toc5020338"/>
      <w:r w:rsidRPr="00E359DA">
        <w:t>Contexto de la “deuda histórica” con los profesores chilenos</w:t>
      </w:r>
      <w:bookmarkEnd w:id="11"/>
      <w:bookmarkEnd w:id="12"/>
    </w:p>
    <w:p w14:paraId="6AFCFDE7" w14:textId="77777777" w:rsidR="00471D9E" w:rsidRPr="00953448" w:rsidRDefault="00471D9E" w:rsidP="00471D9E">
      <w:pPr>
        <w:rPr>
          <w:b/>
          <w:sz w:val="20"/>
          <w:szCs w:val="20"/>
          <w:lang w:val="es-ES_tradnl"/>
        </w:rPr>
      </w:pPr>
    </w:p>
    <w:p w14:paraId="06A56F12" w14:textId="77777777" w:rsidR="00A27CA2" w:rsidRDefault="00471D9E"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sidRPr="00953448">
        <w:rPr>
          <w:rFonts w:ascii="Cambria" w:hAnsi="Cambria"/>
          <w:sz w:val="20"/>
          <w:szCs w:val="20"/>
          <w:lang w:val="es-AR"/>
        </w:rPr>
        <w:t xml:space="preserve">El presente caso se trata del reclamo </w:t>
      </w:r>
      <w:r w:rsidR="00A27CCC" w:rsidRPr="00953448">
        <w:rPr>
          <w:rFonts w:ascii="Cambria" w:hAnsi="Cambria"/>
          <w:sz w:val="20"/>
          <w:szCs w:val="20"/>
          <w:lang w:val="es-AR"/>
        </w:rPr>
        <w:t>de 852 de los 84.</w:t>
      </w:r>
      <w:r w:rsidR="00093BB0">
        <w:rPr>
          <w:rFonts w:ascii="Cambria" w:hAnsi="Cambria"/>
          <w:sz w:val="20"/>
          <w:szCs w:val="20"/>
          <w:lang w:val="es-AR"/>
        </w:rPr>
        <w:t>002</w:t>
      </w:r>
      <w:r w:rsidR="00A27CCC" w:rsidRPr="00953448">
        <w:rPr>
          <w:rFonts w:ascii="Cambria" w:hAnsi="Cambria"/>
          <w:sz w:val="20"/>
          <w:szCs w:val="20"/>
          <w:lang w:val="es-AR"/>
        </w:rPr>
        <w:t xml:space="preserve"> a 93.089</w:t>
      </w:r>
      <w:r w:rsidR="004E5B9D">
        <w:rPr>
          <w:rFonts w:ascii="Cambria" w:hAnsi="Cambria"/>
          <w:sz w:val="20"/>
          <w:szCs w:val="20"/>
          <w:lang w:val="es-AR"/>
        </w:rPr>
        <w:t xml:space="preserve"> profesores afectados</w:t>
      </w:r>
      <w:r w:rsidR="00267185">
        <w:rPr>
          <w:rFonts w:ascii="Cambria" w:hAnsi="Cambria"/>
          <w:sz w:val="20"/>
          <w:szCs w:val="20"/>
          <w:lang w:val="es-AR"/>
        </w:rPr>
        <w:t xml:space="preserve"> </w:t>
      </w:r>
      <w:r w:rsidR="00A27CCC" w:rsidRPr="00953448">
        <w:rPr>
          <w:rFonts w:ascii="Cambria" w:hAnsi="Cambria"/>
          <w:sz w:val="20"/>
          <w:szCs w:val="20"/>
          <w:lang w:val="es-AR"/>
        </w:rPr>
        <w:t xml:space="preserve">por </w:t>
      </w:r>
      <w:r w:rsidR="00387162">
        <w:rPr>
          <w:rFonts w:ascii="Cambria" w:hAnsi="Cambria"/>
          <w:sz w:val="20"/>
          <w:szCs w:val="20"/>
          <w:lang w:val="es-AR"/>
        </w:rPr>
        <w:t>una</w:t>
      </w:r>
      <w:r w:rsidR="00A27CCC" w:rsidRPr="00953448">
        <w:rPr>
          <w:rFonts w:ascii="Cambria" w:hAnsi="Cambria"/>
          <w:sz w:val="20"/>
          <w:szCs w:val="20"/>
          <w:lang w:val="es-AR"/>
        </w:rPr>
        <w:t xml:space="preserve"> llamada “deuda histórica” con los profesore</w:t>
      </w:r>
      <w:r w:rsidR="00267185">
        <w:rPr>
          <w:rFonts w:ascii="Cambria" w:hAnsi="Cambria"/>
          <w:sz w:val="20"/>
          <w:szCs w:val="20"/>
          <w:lang w:val="es-AR"/>
        </w:rPr>
        <w:t>s del país</w:t>
      </w:r>
      <w:r w:rsidR="004E5B9D">
        <w:rPr>
          <w:rFonts w:ascii="Cambria" w:hAnsi="Cambria"/>
          <w:sz w:val="20"/>
          <w:szCs w:val="20"/>
          <w:lang w:val="es-AR"/>
        </w:rPr>
        <w:t>,</w:t>
      </w:r>
      <w:r w:rsidR="00267185">
        <w:rPr>
          <w:rFonts w:ascii="Cambria" w:hAnsi="Cambria"/>
          <w:sz w:val="20"/>
          <w:szCs w:val="20"/>
          <w:lang w:val="es-AR"/>
        </w:rPr>
        <w:t xml:space="preserve"> lo cual ascendería al equivalente de </w:t>
      </w:r>
      <w:r w:rsidR="002E0347">
        <w:rPr>
          <w:rFonts w:ascii="Cambria" w:hAnsi="Cambria"/>
          <w:sz w:val="20"/>
          <w:szCs w:val="20"/>
          <w:lang w:val="es-AR"/>
        </w:rPr>
        <w:t>$</w:t>
      </w:r>
      <w:r w:rsidR="00093BB0">
        <w:rPr>
          <w:rFonts w:ascii="Cambria" w:hAnsi="Cambria"/>
          <w:sz w:val="20"/>
          <w:szCs w:val="20"/>
          <w:lang w:val="es-AR"/>
        </w:rPr>
        <w:t>9.133</w:t>
      </w:r>
      <w:r w:rsidR="00A27CCC" w:rsidRPr="00953448">
        <w:rPr>
          <w:rFonts w:ascii="Cambria" w:hAnsi="Cambria"/>
          <w:sz w:val="20"/>
          <w:szCs w:val="20"/>
          <w:lang w:val="es-AR"/>
        </w:rPr>
        <w:t xml:space="preserve"> a </w:t>
      </w:r>
      <w:r w:rsidR="002E0347">
        <w:rPr>
          <w:rFonts w:ascii="Cambria" w:hAnsi="Cambria"/>
          <w:sz w:val="20"/>
          <w:szCs w:val="20"/>
          <w:lang w:val="es-AR"/>
        </w:rPr>
        <w:t>$</w:t>
      </w:r>
      <w:r w:rsidR="00A27CCC" w:rsidRPr="00953448">
        <w:rPr>
          <w:rFonts w:ascii="Cambria" w:hAnsi="Cambria"/>
          <w:sz w:val="20"/>
          <w:szCs w:val="20"/>
          <w:lang w:val="es-AR"/>
        </w:rPr>
        <w:t>14</w:t>
      </w:r>
      <w:r w:rsidR="004E5B9D">
        <w:rPr>
          <w:rFonts w:ascii="Cambria" w:hAnsi="Cambria"/>
          <w:sz w:val="20"/>
          <w:szCs w:val="20"/>
          <w:lang w:val="es-AR"/>
        </w:rPr>
        <w:t>.000</w:t>
      </w:r>
      <w:r w:rsidR="00A27CCC" w:rsidRPr="00953448">
        <w:rPr>
          <w:rFonts w:ascii="Cambria" w:hAnsi="Cambria"/>
          <w:sz w:val="20"/>
          <w:szCs w:val="20"/>
          <w:lang w:val="es-AR"/>
        </w:rPr>
        <w:t xml:space="preserve"> millones de dólares</w:t>
      </w:r>
      <w:r w:rsidR="00267185">
        <w:rPr>
          <w:rStyle w:val="FootnoteReference"/>
          <w:rFonts w:ascii="Cambria" w:hAnsi="Cambria"/>
          <w:sz w:val="20"/>
          <w:szCs w:val="20"/>
          <w:lang w:val="es-AR"/>
        </w:rPr>
        <w:footnoteReference w:id="12"/>
      </w:r>
      <w:r w:rsidR="00A27CCC" w:rsidRPr="00953448">
        <w:rPr>
          <w:rFonts w:ascii="Cambria" w:hAnsi="Cambria"/>
          <w:sz w:val="20"/>
          <w:szCs w:val="20"/>
          <w:lang w:val="es-AR"/>
        </w:rPr>
        <w:t>.</w:t>
      </w:r>
      <w:r w:rsidR="003173C2">
        <w:rPr>
          <w:rFonts w:ascii="Cambria" w:hAnsi="Cambria"/>
          <w:sz w:val="20"/>
          <w:szCs w:val="20"/>
          <w:lang w:val="es-AR"/>
        </w:rPr>
        <w:t xml:space="preserve"> </w:t>
      </w:r>
      <w:r w:rsidR="00970AF4">
        <w:rPr>
          <w:rFonts w:ascii="Cambria" w:hAnsi="Cambria"/>
          <w:sz w:val="20"/>
          <w:szCs w:val="20"/>
          <w:lang w:val="es-AR"/>
        </w:rPr>
        <w:t>Esta</w:t>
      </w:r>
      <w:r w:rsidR="00387162">
        <w:rPr>
          <w:rFonts w:ascii="Cambria" w:hAnsi="Cambria"/>
          <w:sz w:val="20"/>
          <w:szCs w:val="20"/>
          <w:lang w:val="es-AR"/>
        </w:rPr>
        <w:t xml:space="preserve"> alegada</w:t>
      </w:r>
      <w:r w:rsidR="00970AF4">
        <w:rPr>
          <w:rFonts w:ascii="Cambria" w:hAnsi="Cambria"/>
          <w:sz w:val="20"/>
          <w:szCs w:val="20"/>
          <w:lang w:val="es-AR"/>
        </w:rPr>
        <w:t xml:space="preserve"> “deuda histórica” se relaciona con asignaciones especiales dejadas de percibir por el profesorado del país en el contexto de </w:t>
      </w:r>
      <w:r w:rsidR="00970AF4" w:rsidRPr="0076794B">
        <w:rPr>
          <w:rFonts w:ascii="Cambria" w:hAnsi="Cambria"/>
          <w:sz w:val="20"/>
          <w:szCs w:val="20"/>
        </w:rPr>
        <w:t>la municipalización del sistema educativo y el traspaso de docentes al sector privado</w:t>
      </w:r>
      <w:r w:rsidR="00970AF4">
        <w:rPr>
          <w:rFonts w:ascii="Cambria" w:hAnsi="Cambria"/>
          <w:sz w:val="20"/>
          <w:szCs w:val="20"/>
        </w:rPr>
        <w:t xml:space="preserve"> durante el régimen militar que existía en Chile durante la década de 1980</w:t>
      </w:r>
      <w:r w:rsidR="00970AF4">
        <w:rPr>
          <w:rStyle w:val="FootnoteReference"/>
          <w:rFonts w:ascii="Cambria" w:hAnsi="Cambria"/>
          <w:sz w:val="20"/>
          <w:szCs w:val="20"/>
        </w:rPr>
        <w:footnoteReference w:id="13"/>
      </w:r>
      <w:r w:rsidR="00970AF4">
        <w:rPr>
          <w:rFonts w:ascii="Cambria" w:hAnsi="Cambria"/>
          <w:sz w:val="20"/>
          <w:szCs w:val="20"/>
        </w:rPr>
        <w:t xml:space="preserve">. </w:t>
      </w:r>
      <w:r w:rsidR="00970AF4">
        <w:rPr>
          <w:rFonts w:ascii="Cambria" w:hAnsi="Cambria"/>
          <w:sz w:val="20"/>
          <w:szCs w:val="20"/>
          <w:lang w:val="es-AR"/>
        </w:rPr>
        <w:t>Las</w:t>
      </w:r>
      <w:r w:rsidR="004E5B9D">
        <w:rPr>
          <w:rFonts w:ascii="Cambria" w:hAnsi="Cambria"/>
          <w:sz w:val="20"/>
          <w:szCs w:val="20"/>
          <w:lang w:val="es-AR"/>
        </w:rPr>
        <w:t xml:space="preserve"> 852 presuntas víctimas</w:t>
      </w:r>
      <w:r w:rsidR="00970AF4">
        <w:rPr>
          <w:rFonts w:ascii="Cambria" w:hAnsi="Cambria"/>
          <w:sz w:val="20"/>
          <w:szCs w:val="20"/>
          <w:lang w:val="es-AR"/>
        </w:rPr>
        <w:t xml:space="preserve"> del presente caso</w:t>
      </w:r>
      <w:r w:rsidR="004E5B9D">
        <w:rPr>
          <w:rFonts w:ascii="Cambria" w:hAnsi="Cambria"/>
          <w:sz w:val="20"/>
          <w:szCs w:val="20"/>
          <w:lang w:val="es-AR"/>
        </w:rPr>
        <w:t>, vale precisar, corresponden a las personas que obtuvieron sentencias judiciales favorables ante los tribunales de Chile</w:t>
      </w:r>
      <w:r w:rsidR="0044759B">
        <w:rPr>
          <w:rFonts w:ascii="Cambria" w:hAnsi="Cambria"/>
          <w:sz w:val="20"/>
          <w:szCs w:val="20"/>
          <w:lang w:val="es-AR"/>
        </w:rPr>
        <w:t xml:space="preserve"> requiriendo el pago de la </w:t>
      </w:r>
      <w:r w:rsidR="002D1426">
        <w:rPr>
          <w:rFonts w:ascii="Cambria" w:hAnsi="Cambria"/>
          <w:sz w:val="20"/>
          <w:szCs w:val="20"/>
          <w:lang w:val="es-AR"/>
        </w:rPr>
        <w:t xml:space="preserve">presunta </w:t>
      </w:r>
      <w:r w:rsidR="0044759B">
        <w:rPr>
          <w:rFonts w:ascii="Cambria" w:hAnsi="Cambria"/>
          <w:sz w:val="20"/>
          <w:szCs w:val="20"/>
          <w:lang w:val="es-AR"/>
        </w:rPr>
        <w:t>deuda debida a ellos</w:t>
      </w:r>
      <w:r w:rsidR="004E5B9D">
        <w:rPr>
          <w:rFonts w:ascii="Cambria" w:hAnsi="Cambria"/>
          <w:sz w:val="20"/>
          <w:szCs w:val="20"/>
          <w:lang w:val="es-AR"/>
        </w:rPr>
        <w:t>, la inejecución de las cuales</w:t>
      </w:r>
      <w:r w:rsidR="004A4F36">
        <w:rPr>
          <w:rFonts w:ascii="Cambria" w:hAnsi="Cambria"/>
          <w:sz w:val="20"/>
          <w:szCs w:val="20"/>
          <w:lang w:val="es-AR"/>
        </w:rPr>
        <w:t xml:space="preserve"> es el objeto del presente caso</w:t>
      </w:r>
      <w:r w:rsidR="004E5B9D">
        <w:rPr>
          <w:rStyle w:val="FootnoteReference"/>
          <w:rFonts w:ascii="Cambria" w:hAnsi="Cambria"/>
          <w:sz w:val="20"/>
          <w:szCs w:val="20"/>
          <w:lang w:val="es-AR"/>
        </w:rPr>
        <w:footnoteReference w:id="14"/>
      </w:r>
      <w:r w:rsidR="004E5B9D">
        <w:rPr>
          <w:rFonts w:ascii="Cambria" w:hAnsi="Cambria"/>
          <w:sz w:val="20"/>
          <w:szCs w:val="20"/>
          <w:lang w:val="es-AR"/>
        </w:rPr>
        <w:t>.</w:t>
      </w:r>
      <w:r w:rsidR="00A27CCC" w:rsidRPr="00953448">
        <w:rPr>
          <w:rFonts w:ascii="Cambria" w:hAnsi="Cambria"/>
          <w:sz w:val="20"/>
          <w:szCs w:val="20"/>
          <w:lang w:val="es-AR"/>
        </w:rPr>
        <w:t xml:space="preserve"> </w:t>
      </w:r>
    </w:p>
    <w:p w14:paraId="13A2CB9A" w14:textId="77777777" w:rsidR="00A27CA2" w:rsidRDefault="00A27CA2" w:rsidP="00A27CA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p>
    <w:p w14:paraId="6769800D" w14:textId="77777777" w:rsidR="00A27CA2" w:rsidRDefault="00DA434A"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sidRPr="00A27CA2">
        <w:rPr>
          <w:rFonts w:ascii="Cambria" w:hAnsi="Cambria"/>
          <w:sz w:val="20"/>
          <w:szCs w:val="20"/>
        </w:rPr>
        <w:t>E</w:t>
      </w:r>
      <w:r w:rsidR="009F365B" w:rsidRPr="00A27CA2">
        <w:rPr>
          <w:rFonts w:ascii="Cambria" w:hAnsi="Cambria"/>
          <w:sz w:val="20"/>
          <w:szCs w:val="20"/>
        </w:rPr>
        <w:t>l</w:t>
      </w:r>
      <w:r w:rsidR="002E0347" w:rsidRPr="00A27CA2">
        <w:rPr>
          <w:rFonts w:ascii="Cambria" w:hAnsi="Cambria"/>
          <w:sz w:val="20"/>
          <w:szCs w:val="20"/>
        </w:rPr>
        <w:t xml:space="preserve"> Decreto-Ley</w:t>
      </w:r>
      <w:r w:rsidR="009F365B" w:rsidRPr="00A27CA2">
        <w:rPr>
          <w:rFonts w:ascii="Cambria" w:hAnsi="Cambria"/>
          <w:sz w:val="20"/>
          <w:szCs w:val="20"/>
        </w:rPr>
        <w:t xml:space="preserve"> No. 3551</w:t>
      </w:r>
      <w:r w:rsidR="002E0347" w:rsidRPr="00A27CA2">
        <w:rPr>
          <w:rFonts w:ascii="Cambria" w:hAnsi="Cambria"/>
          <w:sz w:val="20"/>
          <w:szCs w:val="20"/>
        </w:rPr>
        <w:t xml:space="preserve"> de 1981 previó el establecimiento de una asignación especial para el personal docente adscrito al Ministerio de Educación Pública, la cual representaba el </w:t>
      </w:r>
      <w:r w:rsidR="009F365B" w:rsidRPr="00A27CA2">
        <w:rPr>
          <w:rFonts w:ascii="Cambria" w:hAnsi="Cambria"/>
          <w:sz w:val="20"/>
          <w:szCs w:val="20"/>
          <w:lang w:val="es-US"/>
        </w:rPr>
        <w:t>90 por ciento del sueldo de base para los docentes titulados, y el 50 por ciento para los docentes no titulados</w:t>
      </w:r>
      <w:r w:rsidR="00E77CD1" w:rsidRPr="00953448">
        <w:rPr>
          <w:rStyle w:val="FootnoteReference"/>
          <w:rFonts w:ascii="Cambria" w:hAnsi="Cambria"/>
          <w:sz w:val="20"/>
          <w:szCs w:val="20"/>
          <w:lang w:val="es-US"/>
        </w:rPr>
        <w:footnoteReference w:id="15"/>
      </w:r>
      <w:r w:rsidR="00114196" w:rsidRPr="00A27CA2">
        <w:rPr>
          <w:rFonts w:ascii="Cambria" w:hAnsi="Cambria"/>
          <w:sz w:val="20"/>
          <w:szCs w:val="20"/>
          <w:lang w:val="es-US"/>
        </w:rPr>
        <w:t>.</w:t>
      </w:r>
      <w:r w:rsidR="00E77CD1" w:rsidRPr="00A27CA2">
        <w:rPr>
          <w:rFonts w:ascii="Cambria" w:hAnsi="Cambria"/>
          <w:sz w:val="20"/>
          <w:szCs w:val="20"/>
          <w:lang w:val="es-US"/>
        </w:rPr>
        <w:t xml:space="preserve"> </w:t>
      </w:r>
      <w:r w:rsidR="002E0347" w:rsidRPr="00A27CA2">
        <w:rPr>
          <w:rFonts w:ascii="Cambria" w:hAnsi="Cambria"/>
          <w:sz w:val="20"/>
          <w:szCs w:val="20"/>
          <w:lang w:val="es-AR"/>
        </w:rPr>
        <w:t xml:space="preserve"> </w:t>
      </w:r>
      <w:r w:rsidRPr="00A27CA2">
        <w:rPr>
          <w:rFonts w:ascii="Cambria" w:hAnsi="Cambria"/>
          <w:sz w:val="20"/>
          <w:szCs w:val="20"/>
          <w:lang w:val="es-AR"/>
        </w:rPr>
        <w:t xml:space="preserve">En ese </w:t>
      </w:r>
      <w:r w:rsidR="00E77CD1" w:rsidRPr="00A27CA2">
        <w:rPr>
          <w:rFonts w:ascii="Cambria" w:hAnsi="Cambria"/>
          <w:sz w:val="20"/>
          <w:szCs w:val="20"/>
          <w:lang w:val="es-US"/>
        </w:rPr>
        <w:t>mismo momento</w:t>
      </w:r>
      <w:r w:rsidR="009F365B" w:rsidRPr="00A27CA2">
        <w:rPr>
          <w:rFonts w:ascii="Cambria" w:hAnsi="Cambria"/>
          <w:sz w:val="20"/>
          <w:szCs w:val="20"/>
          <w:lang w:val="es-US"/>
        </w:rPr>
        <w:t xml:space="preserve"> y</w:t>
      </w:r>
      <w:r w:rsidR="002E0347" w:rsidRPr="00A27CA2">
        <w:rPr>
          <w:rFonts w:ascii="Cambria" w:hAnsi="Cambria"/>
          <w:sz w:val="20"/>
          <w:szCs w:val="20"/>
          <w:lang w:val="es-US"/>
        </w:rPr>
        <w:t xml:space="preserve"> como parte de</w:t>
      </w:r>
      <w:r w:rsidR="00E77CD1" w:rsidRPr="00A27CA2">
        <w:rPr>
          <w:rFonts w:ascii="Cambria" w:hAnsi="Cambria"/>
          <w:sz w:val="20"/>
          <w:szCs w:val="20"/>
          <w:lang w:val="es-US"/>
        </w:rPr>
        <w:t xml:space="preserve"> </w:t>
      </w:r>
      <w:r w:rsidR="002E0347" w:rsidRPr="00A27CA2">
        <w:rPr>
          <w:rFonts w:ascii="Cambria" w:hAnsi="Cambria"/>
          <w:sz w:val="20"/>
          <w:szCs w:val="20"/>
          <w:lang w:val="es-US"/>
        </w:rPr>
        <w:t>la</w:t>
      </w:r>
      <w:r w:rsidR="00E77CD1" w:rsidRPr="00A27CA2">
        <w:rPr>
          <w:rFonts w:ascii="Cambria" w:hAnsi="Cambria"/>
          <w:sz w:val="20"/>
          <w:szCs w:val="20"/>
          <w:lang w:val="es-US"/>
        </w:rPr>
        <w:t xml:space="preserve"> política de descentralizació</w:t>
      </w:r>
      <w:r w:rsidR="00953448" w:rsidRPr="00A27CA2">
        <w:rPr>
          <w:rFonts w:ascii="Cambria" w:hAnsi="Cambria"/>
          <w:sz w:val="20"/>
          <w:szCs w:val="20"/>
          <w:lang w:val="es-US"/>
        </w:rPr>
        <w:t xml:space="preserve">n y privatización </w:t>
      </w:r>
      <w:r w:rsidR="009F365B" w:rsidRPr="00A27CA2">
        <w:rPr>
          <w:rFonts w:ascii="Cambria" w:hAnsi="Cambria"/>
          <w:sz w:val="20"/>
          <w:szCs w:val="20"/>
          <w:lang w:val="es-US"/>
        </w:rPr>
        <w:t>de</w:t>
      </w:r>
      <w:r w:rsidR="002E0347" w:rsidRPr="00A27CA2">
        <w:rPr>
          <w:rFonts w:ascii="Cambria" w:hAnsi="Cambria"/>
          <w:sz w:val="20"/>
          <w:szCs w:val="20"/>
          <w:lang w:val="es-US"/>
        </w:rPr>
        <w:t xml:space="preserve"> esa época, el</w:t>
      </w:r>
      <w:r w:rsidR="00953448" w:rsidRPr="00A27CA2">
        <w:rPr>
          <w:rFonts w:ascii="Cambria" w:hAnsi="Cambria"/>
          <w:sz w:val="20"/>
          <w:szCs w:val="20"/>
          <w:lang w:val="es-US"/>
        </w:rPr>
        <w:t xml:space="preserve"> </w:t>
      </w:r>
      <w:r w:rsidR="009F365B" w:rsidRPr="00A27CA2">
        <w:rPr>
          <w:rFonts w:ascii="Cambria" w:hAnsi="Cambria"/>
          <w:sz w:val="20"/>
          <w:szCs w:val="20"/>
          <w:lang w:val="es-US"/>
        </w:rPr>
        <w:t>D</w:t>
      </w:r>
      <w:r w:rsidR="00953448" w:rsidRPr="00A27CA2">
        <w:rPr>
          <w:rFonts w:ascii="Cambria" w:hAnsi="Cambria"/>
          <w:sz w:val="20"/>
          <w:szCs w:val="20"/>
          <w:lang w:val="es-US"/>
        </w:rPr>
        <w:t>ecreto-</w:t>
      </w:r>
      <w:r w:rsidR="009F365B" w:rsidRPr="00A27CA2">
        <w:rPr>
          <w:rFonts w:ascii="Cambria" w:hAnsi="Cambria"/>
          <w:sz w:val="20"/>
          <w:szCs w:val="20"/>
          <w:lang w:val="es-US"/>
        </w:rPr>
        <w:t>L</w:t>
      </w:r>
      <w:r w:rsidR="00953448" w:rsidRPr="00A27CA2">
        <w:rPr>
          <w:rFonts w:ascii="Cambria" w:hAnsi="Cambria"/>
          <w:sz w:val="20"/>
          <w:szCs w:val="20"/>
          <w:lang w:val="es-US"/>
        </w:rPr>
        <w:t xml:space="preserve">ey </w:t>
      </w:r>
      <w:r w:rsidR="009F365B" w:rsidRPr="00A27CA2">
        <w:rPr>
          <w:rFonts w:ascii="Cambria" w:hAnsi="Cambria"/>
          <w:sz w:val="20"/>
          <w:szCs w:val="20"/>
          <w:lang w:val="es-US"/>
        </w:rPr>
        <w:t>No</w:t>
      </w:r>
      <w:r w:rsidR="00953448" w:rsidRPr="00A27CA2">
        <w:rPr>
          <w:rFonts w:ascii="Cambria" w:hAnsi="Cambria"/>
          <w:sz w:val="20"/>
          <w:szCs w:val="20"/>
          <w:lang w:val="es-US"/>
        </w:rPr>
        <w:t>. 3063 de 1979</w:t>
      </w:r>
      <w:r w:rsidR="002E0347" w:rsidRPr="00A27CA2">
        <w:rPr>
          <w:rFonts w:ascii="Cambria" w:hAnsi="Cambria"/>
          <w:sz w:val="20"/>
          <w:szCs w:val="20"/>
          <w:lang w:val="es-US"/>
        </w:rPr>
        <w:t xml:space="preserve"> dispuso</w:t>
      </w:r>
      <w:r w:rsidR="00953448" w:rsidRPr="00A27CA2">
        <w:rPr>
          <w:rFonts w:ascii="Cambria" w:hAnsi="Cambria"/>
          <w:sz w:val="20"/>
          <w:szCs w:val="20"/>
          <w:lang w:val="es-US"/>
        </w:rPr>
        <w:t xml:space="preserve"> el traspaso gradual de la administración del sistema de educación pública del Estado central a las municipalidades</w:t>
      </w:r>
      <w:r w:rsidR="009F365B" w:rsidRPr="00A27CA2">
        <w:rPr>
          <w:rFonts w:ascii="Cambria" w:hAnsi="Cambria"/>
          <w:sz w:val="20"/>
          <w:szCs w:val="20"/>
          <w:lang w:val="es-US"/>
        </w:rPr>
        <w:t xml:space="preserve">. </w:t>
      </w:r>
      <w:r w:rsidR="009F365B" w:rsidRPr="00A27CA2">
        <w:rPr>
          <w:rFonts w:ascii="Cambria" w:hAnsi="Cambria"/>
          <w:sz w:val="20"/>
          <w:szCs w:val="20"/>
        </w:rPr>
        <w:t>Es</w:t>
      </w:r>
      <w:r w:rsidR="00387162" w:rsidRPr="00A27CA2">
        <w:rPr>
          <w:rFonts w:ascii="Cambria" w:hAnsi="Cambria"/>
          <w:sz w:val="20"/>
          <w:szCs w:val="20"/>
        </w:rPr>
        <w:t>t</w:t>
      </w:r>
      <w:r w:rsidR="009F365B" w:rsidRPr="00A27CA2">
        <w:rPr>
          <w:rFonts w:ascii="Cambria" w:hAnsi="Cambria"/>
          <w:sz w:val="20"/>
          <w:szCs w:val="20"/>
        </w:rPr>
        <w:t>e traspaso se finalizó en 1986, año en que la totalidad de las instituciones educativas y su personal pasaron a depender de las municipalidades</w:t>
      </w:r>
      <w:r w:rsidR="00953448" w:rsidRPr="00A27CA2">
        <w:rPr>
          <w:rFonts w:ascii="Cambria" w:hAnsi="Cambria"/>
          <w:sz w:val="20"/>
          <w:szCs w:val="20"/>
          <w:lang w:val="es-US"/>
        </w:rPr>
        <w:t>. A medida qu</w:t>
      </w:r>
      <w:r w:rsidR="009F365B" w:rsidRPr="00A27CA2">
        <w:rPr>
          <w:rFonts w:ascii="Cambria" w:hAnsi="Cambria"/>
          <w:sz w:val="20"/>
          <w:szCs w:val="20"/>
          <w:lang w:val="es-US"/>
        </w:rPr>
        <w:t>e se hacía efectivo el traspaso, las municipalidades</w:t>
      </w:r>
      <w:r w:rsidR="00953448" w:rsidRPr="00A27CA2">
        <w:rPr>
          <w:rFonts w:ascii="Cambria" w:hAnsi="Cambria"/>
          <w:sz w:val="20"/>
          <w:szCs w:val="20"/>
          <w:lang w:val="es-US"/>
        </w:rPr>
        <w:t xml:space="preserve"> </w:t>
      </w:r>
      <w:r w:rsidR="00387162" w:rsidRPr="00A27CA2">
        <w:rPr>
          <w:rFonts w:ascii="Cambria" w:hAnsi="Cambria"/>
          <w:sz w:val="20"/>
          <w:szCs w:val="20"/>
          <w:lang w:val="es-US"/>
        </w:rPr>
        <w:t>habrían dejado</w:t>
      </w:r>
      <w:r w:rsidR="00953448" w:rsidRPr="00A27CA2">
        <w:rPr>
          <w:rFonts w:ascii="Cambria" w:hAnsi="Cambria"/>
          <w:sz w:val="20"/>
          <w:szCs w:val="20"/>
          <w:lang w:val="es-US"/>
        </w:rPr>
        <w:t xml:space="preserve"> de pagar a los do</w:t>
      </w:r>
      <w:r w:rsidR="009F365B" w:rsidRPr="00A27CA2">
        <w:rPr>
          <w:rFonts w:ascii="Cambria" w:hAnsi="Cambria"/>
          <w:sz w:val="20"/>
          <w:szCs w:val="20"/>
          <w:lang w:val="es-US"/>
        </w:rPr>
        <w:t>centes la asignación especial</w:t>
      </w:r>
      <w:r w:rsidR="00953448">
        <w:rPr>
          <w:rStyle w:val="FootnoteReference"/>
          <w:rFonts w:ascii="Cambria" w:hAnsi="Cambria"/>
          <w:sz w:val="20"/>
          <w:szCs w:val="20"/>
          <w:lang w:val="es-US"/>
        </w:rPr>
        <w:footnoteReference w:id="16"/>
      </w:r>
      <w:r w:rsidR="002E0347" w:rsidRPr="00A27CA2">
        <w:rPr>
          <w:rFonts w:ascii="Cambria" w:hAnsi="Cambria"/>
          <w:sz w:val="20"/>
          <w:szCs w:val="20"/>
          <w:lang w:val="es-US"/>
        </w:rPr>
        <w:t>.</w:t>
      </w:r>
    </w:p>
    <w:p w14:paraId="556259E6" w14:textId="77777777" w:rsidR="00A27CA2" w:rsidRDefault="00A27CA2" w:rsidP="00A27CA2">
      <w:pPr>
        <w:pStyle w:val="ListParagraph"/>
        <w:rPr>
          <w:sz w:val="20"/>
          <w:szCs w:val="20"/>
          <w:lang w:val="es-US"/>
        </w:rPr>
      </w:pPr>
    </w:p>
    <w:p w14:paraId="391FAAF7" w14:textId="77777777" w:rsidR="00DE49E0" w:rsidRPr="00A27CA2" w:rsidRDefault="00953448"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sidRPr="00A27CA2">
        <w:rPr>
          <w:rFonts w:ascii="Cambria" w:hAnsi="Cambria"/>
          <w:sz w:val="20"/>
          <w:szCs w:val="20"/>
          <w:lang w:val="es-US"/>
        </w:rPr>
        <w:t xml:space="preserve">Los docentes empezaron a interponer </w:t>
      </w:r>
      <w:r w:rsidR="009F365B" w:rsidRPr="00A27CA2">
        <w:rPr>
          <w:rFonts w:ascii="Cambria" w:hAnsi="Cambria"/>
          <w:sz w:val="20"/>
          <w:szCs w:val="20"/>
          <w:lang w:val="es-US"/>
        </w:rPr>
        <w:t>recursos</w:t>
      </w:r>
      <w:r w:rsidRPr="00A27CA2">
        <w:rPr>
          <w:rFonts w:ascii="Cambria" w:hAnsi="Cambria"/>
          <w:sz w:val="20"/>
          <w:szCs w:val="20"/>
          <w:lang w:val="es-US"/>
        </w:rPr>
        <w:t xml:space="preserve"> judiciales para reclamar el pago de la asignación especial por las municipalidades </w:t>
      </w:r>
      <w:r w:rsidR="00DA434A" w:rsidRPr="00A27CA2">
        <w:rPr>
          <w:rFonts w:ascii="Cambria" w:hAnsi="Cambria"/>
          <w:sz w:val="20"/>
          <w:szCs w:val="20"/>
          <w:lang w:val="es-US"/>
        </w:rPr>
        <w:t>a principios</w:t>
      </w:r>
      <w:r w:rsidR="009F365B" w:rsidRPr="00A27CA2">
        <w:rPr>
          <w:rFonts w:ascii="Cambria" w:hAnsi="Cambria"/>
          <w:sz w:val="20"/>
          <w:szCs w:val="20"/>
          <w:lang w:val="es-US"/>
        </w:rPr>
        <w:t xml:space="preserve"> de l</w:t>
      </w:r>
      <w:r w:rsidR="00DA434A" w:rsidRPr="00A27CA2">
        <w:rPr>
          <w:rFonts w:ascii="Cambria" w:hAnsi="Cambria"/>
          <w:sz w:val="20"/>
          <w:szCs w:val="20"/>
          <w:lang w:val="es-US"/>
        </w:rPr>
        <w:t>os noventas</w:t>
      </w:r>
      <w:r w:rsidR="009F365B" w:rsidRPr="00A27CA2">
        <w:rPr>
          <w:rFonts w:ascii="Cambria" w:hAnsi="Cambria"/>
          <w:sz w:val="20"/>
          <w:szCs w:val="20"/>
          <w:lang w:val="es-US"/>
        </w:rPr>
        <w:t>, luego del restablecimiento de la democracia en el pa</w:t>
      </w:r>
      <w:r w:rsidR="00EB640D" w:rsidRPr="00A27CA2">
        <w:rPr>
          <w:rFonts w:ascii="Cambria" w:hAnsi="Cambria"/>
          <w:sz w:val="20"/>
          <w:szCs w:val="20"/>
          <w:lang w:val="es-US"/>
        </w:rPr>
        <w:t>ís</w:t>
      </w:r>
      <w:r>
        <w:rPr>
          <w:rStyle w:val="FootnoteReference"/>
          <w:rFonts w:ascii="Cambria" w:hAnsi="Cambria"/>
          <w:sz w:val="20"/>
          <w:szCs w:val="20"/>
          <w:lang w:val="es-US"/>
        </w:rPr>
        <w:footnoteReference w:id="17"/>
      </w:r>
      <w:r w:rsidR="00DA434A" w:rsidRPr="00A27CA2">
        <w:rPr>
          <w:rFonts w:ascii="Cambria" w:hAnsi="Cambria"/>
          <w:sz w:val="20"/>
          <w:szCs w:val="20"/>
          <w:lang w:val="es-US"/>
        </w:rPr>
        <w:t>.</w:t>
      </w:r>
      <w:r w:rsidR="00EB640D" w:rsidRPr="00A27CA2">
        <w:rPr>
          <w:rFonts w:ascii="Cambria" w:hAnsi="Cambria"/>
          <w:sz w:val="20"/>
          <w:szCs w:val="20"/>
          <w:lang w:val="es-AR"/>
        </w:rPr>
        <w:t xml:space="preserve"> </w:t>
      </w:r>
      <w:r w:rsidR="0044759B" w:rsidRPr="00A27CA2">
        <w:rPr>
          <w:rFonts w:ascii="Cambria" w:hAnsi="Cambria"/>
          <w:sz w:val="20"/>
          <w:szCs w:val="20"/>
          <w:lang w:val="es-US"/>
        </w:rPr>
        <w:t>En agosto de 2009,</w:t>
      </w:r>
      <w:r w:rsidRPr="00A27CA2">
        <w:rPr>
          <w:rFonts w:ascii="Cambria" w:hAnsi="Cambria"/>
          <w:sz w:val="20"/>
          <w:szCs w:val="20"/>
          <w:lang w:val="es-US"/>
        </w:rPr>
        <w:t xml:space="preserve"> una Comisión Especial de la Cámara de Diputados presentó su informe </w:t>
      </w:r>
      <w:r w:rsidR="0044759B" w:rsidRPr="00A27CA2">
        <w:rPr>
          <w:rFonts w:ascii="Cambria" w:hAnsi="Cambria"/>
          <w:sz w:val="20"/>
          <w:szCs w:val="20"/>
          <w:lang w:val="es-US"/>
        </w:rPr>
        <w:t xml:space="preserve">en el que </w:t>
      </w:r>
      <w:r w:rsidRPr="00A27CA2">
        <w:rPr>
          <w:rFonts w:ascii="Cambria" w:hAnsi="Cambria"/>
          <w:sz w:val="20"/>
          <w:szCs w:val="20"/>
          <w:lang w:val="es-US"/>
        </w:rPr>
        <w:t>concluyó por unanimidad que el Estado tenía una deuda histórica con los docentes,</w:t>
      </w:r>
      <w:r w:rsidR="0044759B" w:rsidRPr="00A27CA2">
        <w:rPr>
          <w:rFonts w:ascii="Cambria" w:hAnsi="Cambria"/>
          <w:sz w:val="20"/>
          <w:szCs w:val="20"/>
          <w:lang w:val="es-US"/>
        </w:rPr>
        <w:t xml:space="preserve"> pero que</w:t>
      </w:r>
      <w:r w:rsidRPr="00A27CA2">
        <w:rPr>
          <w:rFonts w:ascii="Cambria" w:hAnsi="Cambria"/>
          <w:sz w:val="20"/>
          <w:szCs w:val="20"/>
          <w:lang w:val="es-US"/>
        </w:rPr>
        <w:t xml:space="preserve"> </w:t>
      </w:r>
      <w:r w:rsidR="0044759B" w:rsidRPr="00A27CA2">
        <w:rPr>
          <w:rFonts w:ascii="Cambria" w:hAnsi="Cambria"/>
          <w:sz w:val="20"/>
          <w:szCs w:val="20"/>
          <w:lang w:val="es-US"/>
        </w:rPr>
        <w:t>“</w:t>
      </w:r>
      <w:r w:rsidR="0044759B" w:rsidRPr="00A27CA2">
        <w:rPr>
          <w:rFonts w:ascii="Cambria" w:hAnsi="Cambria"/>
          <w:sz w:val="20"/>
          <w:szCs w:val="20"/>
          <w:lang w:val="es-AR"/>
        </w:rPr>
        <w:t>es imposible satisfacer la totalidad de la deuda exigida por los profesores”</w:t>
      </w:r>
      <w:r w:rsidR="0044759B">
        <w:rPr>
          <w:rStyle w:val="FootnoteReference"/>
          <w:rFonts w:ascii="Cambria" w:hAnsi="Cambria"/>
          <w:sz w:val="20"/>
          <w:szCs w:val="20"/>
          <w:lang w:val="es-AR"/>
        </w:rPr>
        <w:footnoteReference w:id="18"/>
      </w:r>
      <w:r w:rsidR="0044759B" w:rsidRPr="00A27CA2">
        <w:rPr>
          <w:rFonts w:ascii="Cambria" w:hAnsi="Cambria"/>
          <w:sz w:val="20"/>
          <w:szCs w:val="20"/>
          <w:lang w:val="es-AR"/>
        </w:rPr>
        <w:t>. La Organización Internacional de Trabajo ha considerado esta situación también en lo que respecta las obligaciones del Estado chileno en materia de pensiones</w:t>
      </w:r>
      <w:r>
        <w:rPr>
          <w:rStyle w:val="FootnoteReference"/>
          <w:rFonts w:ascii="Cambria" w:hAnsi="Cambria"/>
          <w:sz w:val="20"/>
          <w:szCs w:val="20"/>
          <w:lang w:val="es-US"/>
        </w:rPr>
        <w:footnoteReference w:id="19"/>
      </w:r>
      <w:r w:rsidR="00387162" w:rsidRPr="00A27CA2">
        <w:rPr>
          <w:rFonts w:ascii="Cambria" w:hAnsi="Cambria"/>
          <w:sz w:val="20"/>
          <w:szCs w:val="20"/>
          <w:lang w:val="es-AR"/>
        </w:rPr>
        <w:t xml:space="preserve">. </w:t>
      </w:r>
      <w:r w:rsidR="0044759B" w:rsidRPr="00A27CA2">
        <w:rPr>
          <w:rFonts w:ascii="Cambria" w:hAnsi="Cambria"/>
          <w:sz w:val="20"/>
          <w:szCs w:val="20"/>
          <w:lang w:val="es-US"/>
        </w:rPr>
        <w:t>De acuerdo con información de público conocimiento, el reclamo de los profesores de Chile respecto de la “deuda histórica</w:t>
      </w:r>
      <w:r w:rsidR="002C5F68" w:rsidRPr="00A27CA2">
        <w:rPr>
          <w:rFonts w:ascii="Cambria" w:hAnsi="Cambria"/>
          <w:sz w:val="20"/>
          <w:szCs w:val="20"/>
          <w:lang w:val="es-US"/>
        </w:rPr>
        <w:t>”</w:t>
      </w:r>
      <w:r w:rsidR="0044759B" w:rsidRPr="00A27CA2">
        <w:rPr>
          <w:rFonts w:ascii="Cambria" w:hAnsi="Cambria"/>
          <w:sz w:val="20"/>
          <w:szCs w:val="20"/>
          <w:lang w:val="es-US"/>
        </w:rPr>
        <w:t xml:space="preserve"> sigue siendo un tema de debate público activo</w:t>
      </w:r>
      <w:r w:rsidR="0044759B">
        <w:rPr>
          <w:rStyle w:val="FootnoteReference"/>
          <w:rFonts w:ascii="Cambria" w:hAnsi="Cambria"/>
          <w:sz w:val="20"/>
          <w:szCs w:val="20"/>
          <w:lang w:val="es-US"/>
        </w:rPr>
        <w:footnoteReference w:id="20"/>
      </w:r>
      <w:r w:rsidR="0044759B" w:rsidRPr="00A27CA2">
        <w:rPr>
          <w:rFonts w:ascii="Cambria" w:hAnsi="Cambria"/>
          <w:sz w:val="20"/>
          <w:szCs w:val="20"/>
          <w:lang w:val="es-US"/>
        </w:rPr>
        <w:t>.</w:t>
      </w:r>
    </w:p>
    <w:p w14:paraId="0EEE9A7A" w14:textId="77777777" w:rsidR="00E359DA" w:rsidRPr="00953448" w:rsidRDefault="00E359DA" w:rsidP="00E359DA">
      <w:pPr>
        <w:pStyle w:val="ListParagraph"/>
        <w:ind w:left="1440"/>
        <w:rPr>
          <w:rFonts w:asciiTheme="majorHAnsi" w:hAnsiTheme="majorHAnsi"/>
          <w:b/>
          <w:color w:val="auto"/>
          <w:sz w:val="20"/>
          <w:szCs w:val="20"/>
          <w:lang w:val="es-ES_tradnl"/>
        </w:rPr>
      </w:pPr>
    </w:p>
    <w:p w14:paraId="72A8FE81" w14:textId="77777777" w:rsidR="00E676EC" w:rsidRPr="00E676EC" w:rsidRDefault="00E359DA" w:rsidP="00144082">
      <w:pPr>
        <w:pStyle w:val="Heading2"/>
        <w:keepN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s>
        <w:suppressAutoHyphens w:val="0"/>
        <w:ind w:hanging="1440"/>
        <w:jc w:val="both"/>
      </w:pPr>
      <w:bookmarkStart w:id="13" w:name="_Toc532549546"/>
      <w:bookmarkStart w:id="14" w:name="_Toc5020339"/>
      <w:r w:rsidRPr="00953448">
        <w:t>Procesos internos</w:t>
      </w:r>
      <w:bookmarkEnd w:id="13"/>
      <w:bookmarkEnd w:id="14"/>
    </w:p>
    <w:p w14:paraId="58387FF1" w14:textId="77777777" w:rsidR="00A94143" w:rsidRDefault="00A94143" w:rsidP="00A94143">
      <w:pPr>
        <w:rPr>
          <w:lang w:val="es-ES_tradnl"/>
        </w:rPr>
      </w:pPr>
    </w:p>
    <w:p w14:paraId="0A911BBE" w14:textId="77777777" w:rsidR="00A94143" w:rsidRDefault="00A94143"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La parte peticionaria informó</w:t>
      </w:r>
      <w:r>
        <w:rPr>
          <w:rStyle w:val="FootnoteReference"/>
          <w:rFonts w:ascii="Cambria" w:hAnsi="Cambria"/>
          <w:sz w:val="20"/>
          <w:szCs w:val="20"/>
          <w:lang w:val="es-AR"/>
        </w:rPr>
        <w:footnoteReference w:id="21"/>
      </w:r>
      <w:r>
        <w:rPr>
          <w:rFonts w:ascii="Cambria" w:hAnsi="Cambria"/>
          <w:sz w:val="20"/>
          <w:szCs w:val="20"/>
          <w:lang w:val="es-AR"/>
        </w:rPr>
        <w:t xml:space="preserve"> respecto de los siguientes procesos internos a favor de las presuntas víctimas</w:t>
      </w:r>
      <w:r w:rsidR="002D1426">
        <w:rPr>
          <w:rFonts w:ascii="Cambria" w:hAnsi="Cambria"/>
          <w:sz w:val="20"/>
          <w:szCs w:val="20"/>
          <w:lang w:val="es-AR"/>
        </w:rPr>
        <w:t xml:space="preserve"> de</w:t>
      </w:r>
      <w:r w:rsidR="00E43122">
        <w:rPr>
          <w:rFonts w:ascii="Cambria" w:hAnsi="Cambria"/>
          <w:sz w:val="20"/>
          <w:szCs w:val="20"/>
          <w:lang w:val="es-AR"/>
        </w:rPr>
        <w:t>l</w:t>
      </w:r>
      <w:r w:rsidR="002D1426">
        <w:rPr>
          <w:rFonts w:ascii="Cambria" w:hAnsi="Cambria"/>
          <w:sz w:val="20"/>
          <w:szCs w:val="20"/>
          <w:lang w:val="es-AR"/>
        </w:rPr>
        <w:t xml:space="preserve"> caso</w:t>
      </w:r>
      <w:r w:rsidR="00387162">
        <w:rPr>
          <w:rFonts w:ascii="Cambria" w:hAnsi="Cambria"/>
          <w:sz w:val="20"/>
          <w:szCs w:val="20"/>
          <w:lang w:val="es-AR"/>
        </w:rPr>
        <w:t>,</w:t>
      </w:r>
      <w:r w:rsidR="0096420D">
        <w:rPr>
          <w:rFonts w:ascii="Cambria" w:hAnsi="Cambria"/>
          <w:sz w:val="20"/>
          <w:szCs w:val="20"/>
          <w:lang w:val="es-AR"/>
        </w:rPr>
        <w:t xml:space="preserve"> todas l</w:t>
      </w:r>
      <w:r w:rsidR="00E43122">
        <w:rPr>
          <w:rFonts w:ascii="Cambria" w:hAnsi="Cambria"/>
          <w:sz w:val="20"/>
          <w:szCs w:val="20"/>
          <w:lang w:val="es-AR"/>
        </w:rPr>
        <w:t>o</w:t>
      </w:r>
      <w:r w:rsidR="0096420D">
        <w:rPr>
          <w:rFonts w:ascii="Cambria" w:hAnsi="Cambria"/>
          <w:sz w:val="20"/>
          <w:szCs w:val="20"/>
          <w:lang w:val="es-AR"/>
        </w:rPr>
        <w:t>s cuales fueron resueltos a favor de los docentes, requiriendo el pago por parte de las municipalidades de determinados montos a favor de ellos</w:t>
      </w:r>
      <w:r>
        <w:rPr>
          <w:rFonts w:ascii="Cambria" w:hAnsi="Cambria"/>
          <w:sz w:val="20"/>
          <w:szCs w:val="20"/>
          <w:lang w:val="es-AR"/>
        </w:rPr>
        <w:t>:</w:t>
      </w:r>
    </w:p>
    <w:p w14:paraId="7BE1FDAB" w14:textId="77777777" w:rsidR="00CC0301" w:rsidRDefault="00CC0301" w:rsidP="00CC03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AR"/>
        </w:rPr>
      </w:pPr>
    </w:p>
    <w:p w14:paraId="27CD8B6C" w14:textId="77777777" w:rsidR="00670AE3" w:rsidRDefault="00670AE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 xml:space="preserve">Juzgado del Trabajo de </w:t>
      </w:r>
      <w:r w:rsidRPr="004836B4">
        <w:rPr>
          <w:rFonts w:ascii="Cambria" w:hAnsi="Cambria"/>
          <w:sz w:val="20"/>
          <w:szCs w:val="20"/>
          <w:lang w:val="es-AR"/>
        </w:rPr>
        <w:t>Chañaral</w:t>
      </w:r>
      <w:r>
        <w:rPr>
          <w:rFonts w:ascii="Cambria" w:hAnsi="Cambria"/>
          <w:sz w:val="20"/>
          <w:szCs w:val="20"/>
          <w:lang w:val="es-AR"/>
        </w:rPr>
        <w:t>, en autos caratulados “</w:t>
      </w:r>
      <w:r>
        <w:rPr>
          <w:rFonts w:ascii="Cambria" w:hAnsi="Cambria"/>
          <w:i/>
          <w:sz w:val="20"/>
          <w:szCs w:val="20"/>
          <w:lang w:val="es-AR"/>
        </w:rPr>
        <w:t>Benavides</w:t>
      </w:r>
      <w:r w:rsidRPr="00A94143">
        <w:rPr>
          <w:rFonts w:ascii="Cambria" w:hAnsi="Cambria"/>
          <w:i/>
          <w:sz w:val="20"/>
          <w:szCs w:val="20"/>
          <w:lang w:val="es-AR"/>
        </w:rPr>
        <w:t xml:space="preserve"> contra I. Municipalidad de </w:t>
      </w:r>
      <w:r>
        <w:rPr>
          <w:rFonts w:ascii="Cambria" w:hAnsi="Cambria"/>
          <w:i/>
          <w:sz w:val="20"/>
          <w:szCs w:val="20"/>
          <w:lang w:val="es-AR"/>
        </w:rPr>
        <w:t>Chañaral</w:t>
      </w:r>
      <w:r>
        <w:rPr>
          <w:rFonts w:ascii="Cambria" w:hAnsi="Cambria"/>
          <w:sz w:val="20"/>
          <w:szCs w:val="20"/>
          <w:lang w:val="es-AR"/>
        </w:rPr>
        <w:t>”, Rol. No. 18.629-1994, confirmada en segunda instancia el 20 de julio de 1994</w:t>
      </w:r>
      <w:r w:rsidR="004836B4">
        <w:rPr>
          <w:rStyle w:val="FootnoteReference"/>
          <w:rFonts w:ascii="Cambria" w:hAnsi="Cambria"/>
          <w:sz w:val="20"/>
          <w:szCs w:val="20"/>
          <w:lang w:val="es-AR"/>
        </w:rPr>
        <w:footnoteReference w:id="22"/>
      </w:r>
      <w:r>
        <w:rPr>
          <w:rFonts w:ascii="Cambria" w:hAnsi="Cambria"/>
          <w:sz w:val="20"/>
          <w:szCs w:val="20"/>
          <w:lang w:val="es-AR"/>
        </w:rPr>
        <w:t>.</w:t>
      </w:r>
    </w:p>
    <w:p w14:paraId="136A8348" w14:textId="77777777" w:rsidR="00A94143" w:rsidRDefault="00A9414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Juzgado del Trabajo de Chanco, en autos caratulados “</w:t>
      </w:r>
      <w:r w:rsidRPr="00A94143">
        <w:rPr>
          <w:rFonts w:ascii="Cambria" w:hAnsi="Cambria"/>
          <w:i/>
          <w:sz w:val="20"/>
          <w:szCs w:val="20"/>
          <w:lang w:val="es-AR"/>
        </w:rPr>
        <w:t>Franzani contra I. Municipalidad de Chanco</w:t>
      </w:r>
      <w:r>
        <w:rPr>
          <w:rFonts w:ascii="Cambria" w:hAnsi="Cambria"/>
          <w:sz w:val="20"/>
          <w:szCs w:val="20"/>
          <w:lang w:val="es-AR"/>
        </w:rPr>
        <w:t xml:space="preserve">”, Rol. No. </w:t>
      </w:r>
      <w:r w:rsidRPr="001701D6">
        <w:rPr>
          <w:rFonts w:ascii="Cambria" w:hAnsi="Cambria"/>
          <w:sz w:val="20"/>
          <w:szCs w:val="20"/>
          <w:lang w:val="es-AR"/>
        </w:rPr>
        <w:t>221</w:t>
      </w:r>
      <w:r>
        <w:rPr>
          <w:rFonts w:ascii="Cambria" w:hAnsi="Cambria"/>
          <w:sz w:val="20"/>
          <w:szCs w:val="20"/>
          <w:lang w:val="es-AR"/>
        </w:rPr>
        <w:t>-1993, confirmada en segunda instancia el 3 de junio de 1994</w:t>
      </w:r>
      <w:r w:rsidR="001701D6">
        <w:rPr>
          <w:rStyle w:val="FootnoteReference"/>
          <w:rFonts w:ascii="Cambria" w:hAnsi="Cambria"/>
          <w:sz w:val="20"/>
          <w:szCs w:val="20"/>
          <w:lang w:val="es-AR"/>
        </w:rPr>
        <w:footnoteReference w:id="23"/>
      </w:r>
      <w:r>
        <w:rPr>
          <w:rFonts w:ascii="Cambria" w:hAnsi="Cambria"/>
          <w:sz w:val="20"/>
          <w:szCs w:val="20"/>
          <w:lang w:val="es-AR"/>
        </w:rPr>
        <w:t>.</w:t>
      </w:r>
    </w:p>
    <w:p w14:paraId="783B1AD9" w14:textId="77777777" w:rsidR="00A94143" w:rsidRDefault="00A9414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Juzgado del Trabajo de Chanco, en autos caratulados “</w:t>
      </w:r>
      <w:r w:rsidRPr="00A94143">
        <w:rPr>
          <w:rFonts w:ascii="Cambria" w:hAnsi="Cambria"/>
          <w:i/>
          <w:sz w:val="20"/>
          <w:szCs w:val="20"/>
          <w:lang w:val="es-AR"/>
        </w:rPr>
        <w:t>Franzani contra I. Municipalidad de Chanco</w:t>
      </w:r>
      <w:r>
        <w:rPr>
          <w:rFonts w:ascii="Cambria" w:hAnsi="Cambria"/>
          <w:sz w:val="20"/>
          <w:szCs w:val="20"/>
          <w:lang w:val="es-AR"/>
        </w:rPr>
        <w:t>”, Rol. No. 217-1993, confirmada en segunda instancia el 8 de septiembre de 1993</w:t>
      </w:r>
      <w:r w:rsidR="005028AD">
        <w:rPr>
          <w:rStyle w:val="FootnoteReference"/>
          <w:rFonts w:ascii="Cambria" w:hAnsi="Cambria"/>
          <w:sz w:val="20"/>
          <w:szCs w:val="20"/>
          <w:lang w:val="es-AR"/>
        </w:rPr>
        <w:footnoteReference w:id="24"/>
      </w:r>
      <w:r>
        <w:rPr>
          <w:rFonts w:ascii="Cambria" w:hAnsi="Cambria"/>
          <w:sz w:val="20"/>
          <w:szCs w:val="20"/>
          <w:lang w:val="es-AR"/>
        </w:rPr>
        <w:t>.</w:t>
      </w:r>
    </w:p>
    <w:p w14:paraId="0E81F1CB" w14:textId="77777777" w:rsidR="00A94143" w:rsidRDefault="00A9414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Juzgado del Trabajo de Chanco, en autos caratulados “</w:t>
      </w:r>
      <w:r w:rsidRPr="00A94143">
        <w:rPr>
          <w:rFonts w:ascii="Cambria" w:hAnsi="Cambria"/>
          <w:i/>
          <w:sz w:val="20"/>
          <w:szCs w:val="20"/>
          <w:lang w:val="es-AR"/>
        </w:rPr>
        <w:t>Franzani contra I. Municipalidad de Pelluhue</w:t>
      </w:r>
      <w:r>
        <w:rPr>
          <w:rFonts w:ascii="Cambria" w:hAnsi="Cambria"/>
          <w:sz w:val="20"/>
          <w:szCs w:val="20"/>
          <w:lang w:val="es-AR"/>
        </w:rPr>
        <w:t>”, Rol. No. 218-1993, confirmada en segunda instancia el 3 de noviembre de 1993</w:t>
      </w:r>
      <w:r w:rsidR="001701D6">
        <w:rPr>
          <w:rStyle w:val="FootnoteReference"/>
          <w:rFonts w:ascii="Cambria" w:hAnsi="Cambria"/>
          <w:sz w:val="20"/>
          <w:szCs w:val="20"/>
          <w:lang w:val="es-AR"/>
        </w:rPr>
        <w:footnoteReference w:id="25"/>
      </w:r>
      <w:r>
        <w:rPr>
          <w:rFonts w:ascii="Cambria" w:hAnsi="Cambria"/>
          <w:sz w:val="20"/>
          <w:szCs w:val="20"/>
          <w:lang w:val="es-AR"/>
        </w:rPr>
        <w:t>.</w:t>
      </w:r>
    </w:p>
    <w:p w14:paraId="2A25AF12" w14:textId="77777777" w:rsidR="00A94143" w:rsidRDefault="00A9414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Juzgado del Trabajo de Chanco, en autos caratulados “</w:t>
      </w:r>
      <w:r w:rsidRPr="00A94143">
        <w:rPr>
          <w:rFonts w:ascii="Cambria" w:hAnsi="Cambria"/>
          <w:i/>
          <w:sz w:val="20"/>
          <w:szCs w:val="20"/>
          <w:lang w:val="es-AR"/>
        </w:rPr>
        <w:t>Franzani contra I. Municipalidad de Pelluhue</w:t>
      </w:r>
      <w:r>
        <w:rPr>
          <w:rFonts w:ascii="Cambria" w:hAnsi="Cambria"/>
          <w:sz w:val="20"/>
          <w:szCs w:val="20"/>
          <w:lang w:val="es-AR"/>
        </w:rPr>
        <w:t>”, Rol. No. 222-1993, con sentencia definitiva favorable el 27 de enero de 1994</w:t>
      </w:r>
      <w:r w:rsidR="001701D6">
        <w:rPr>
          <w:rStyle w:val="FootnoteReference"/>
          <w:rFonts w:ascii="Cambria" w:hAnsi="Cambria"/>
          <w:sz w:val="20"/>
          <w:szCs w:val="20"/>
          <w:lang w:val="es-AR"/>
        </w:rPr>
        <w:footnoteReference w:id="26"/>
      </w:r>
      <w:r>
        <w:rPr>
          <w:rFonts w:ascii="Cambria" w:hAnsi="Cambria"/>
          <w:sz w:val="20"/>
          <w:szCs w:val="20"/>
          <w:lang w:val="es-AR"/>
        </w:rPr>
        <w:t>.</w:t>
      </w:r>
    </w:p>
    <w:p w14:paraId="02BA1378" w14:textId="77777777" w:rsidR="00A94143" w:rsidRDefault="00A9414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Juzgado del Trabajo de Parral, en autos caratulados “</w:t>
      </w:r>
      <w:r w:rsidRPr="00A94143">
        <w:rPr>
          <w:rFonts w:ascii="Cambria" w:hAnsi="Cambria"/>
          <w:i/>
          <w:sz w:val="20"/>
          <w:szCs w:val="20"/>
          <w:lang w:val="es-AR"/>
        </w:rPr>
        <w:t>Bayer contra I. Municipalidad de Parral</w:t>
      </w:r>
      <w:r>
        <w:rPr>
          <w:rFonts w:ascii="Cambria" w:hAnsi="Cambria"/>
          <w:sz w:val="20"/>
          <w:szCs w:val="20"/>
          <w:lang w:val="es-AR"/>
        </w:rPr>
        <w:t>”, Rol. No. 4.27</w:t>
      </w:r>
      <w:r w:rsidR="00670AE3">
        <w:rPr>
          <w:rFonts w:ascii="Cambria" w:hAnsi="Cambria"/>
          <w:sz w:val="20"/>
          <w:szCs w:val="20"/>
          <w:lang w:val="es-AR"/>
        </w:rPr>
        <w:t>4</w:t>
      </w:r>
      <w:r>
        <w:rPr>
          <w:rFonts w:ascii="Cambria" w:hAnsi="Cambria"/>
          <w:sz w:val="20"/>
          <w:szCs w:val="20"/>
          <w:lang w:val="es-AR"/>
        </w:rPr>
        <w:t>-1993,</w:t>
      </w:r>
      <w:r w:rsidRPr="00A94143">
        <w:rPr>
          <w:rFonts w:ascii="Cambria" w:hAnsi="Cambria"/>
          <w:sz w:val="20"/>
          <w:szCs w:val="20"/>
          <w:lang w:val="es-AR"/>
        </w:rPr>
        <w:t xml:space="preserve"> </w:t>
      </w:r>
      <w:r>
        <w:rPr>
          <w:rFonts w:ascii="Cambria" w:hAnsi="Cambria"/>
          <w:sz w:val="20"/>
          <w:szCs w:val="20"/>
          <w:lang w:val="es-AR"/>
        </w:rPr>
        <w:t>con sentencia definitiva favorable el 27 de enero de 1994</w:t>
      </w:r>
      <w:r w:rsidR="005028AD">
        <w:rPr>
          <w:rStyle w:val="FootnoteReference"/>
          <w:rFonts w:ascii="Cambria" w:hAnsi="Cambria"/>
          <w:sz w:val="20"/>
          <w:szCs w:val="20"/>
          <w:lang w:val="es-AR"/>
        </w:rPr>
        <w:footnoteReference w:id="27"/>
      </w:r>
      <w:r>
        <w:rPr>
          <w:rFonts w:ascii="Cambria" w:hAnsi="Cambria"/>
          <w:sz w:val="20"/>
          <w:szCs w:val="20"/>
          <w:lang w:val="es-AR"/>
        </w:rPr>
        <w:t>.</w:t>
      </w:r>
    </w:p>
    <w:p w14:paraId="37899279" w14:textId="77777777" w:rsidR="00A94143" w:rsidRDefault="00A9414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Juzgado del Trabajo de Parral, en autos caratulados “</w:t>
      </w:r>
      <w:r w:rsidRPr="00A94143">
        <w:rPr>
          <w:rFonts w:ascii="Cambria" w:hAnsi="Cambria"/>
          <w:i/>
          <w:sz w:val="20"/>
          <w:szCs w:val="20"/>
          <w:lang w:val="es-AR"/>
        </w:rPr>
        <w:t>Bustamante contra I. Municipalidad de Parral</w:t>
      </w:r>
      <w:r>
        <w:rPr>
          <w:rFonts w:ascii="Cambria" w:hAnsi="Cambria"/>
          <w:sz w:val="20"/>
          <w:szCs w:val="20"/>
          <w:lang w:val="es-AR"/>
        </w:rPr>
        <w:t xml:space="preserve">”, Rol. No. 4.071-1992, confirmada en segunda instancia el </w:t>
      </w:r>
      <w:r w:rsidR="00345DBD">
        <w:rPr>
          <w:rFonts w:ascii="Cambria" w:hAnsi="Cambria"/>
          <w:sz w:val="20"/>
          <w:szCs w:val="20"/>
          <w:lang w:val="es-AR"/>
        </w:rPr>
        <w:t>30 de septiembre de 1993</w:t>
      </w:r>
      <w:r w:rsidR="005028AD">
        <w:rPr>
          <w:rStyle w:val="FootnoteReference"/>
          <w:rFonts w:ascii="Cambria" w:hAnsi="Cambria"/>
          <w:sz w:val="20"/>
          <w:szCs w:val="20"/>
          <w:lang w:val="es-AR"/>
        </w:rPr>
        <w:footnoteReference w:id="28"/>
      </w:r>
      <w:r w:rsidR="00345DBD">
        <w:rPr>
          <w:rFonts w:ascii="Cambria" w:hAnsi="Cambria"/>
          <w:sz w:val="20"/>
          <w:szCs w:val="20"/>
          <w:lang w:val="es-AR"/>
        </w:rPr>
        <w:t>.</w:t>
      </w:r>
    </w:p>
    <w:p w14:paraId="33C5086C" w14:textId="77777777" w:rsidR="00A94143" w:rsidRDefault="00A9414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Juzgado del Trabajo de Parral, en autos caratulados “</w:t>
      </w:r>
      <w:r w:rsidR="00345DBD" w:rsidRPr="00345DBD">
        <w:rPr>
          <w:rFonts w:ascii="Cambria" w:hAnsi="Cambria"/>
          <w:i/>
          <w:sz w:val="20"/>
          <w:szCs w:val="20"/>
          <w:lang w:val="es-AR"/>
        </w:rPr>
        <w:t>Belmar</w:t>
      </w:r>
      <w:r w:rsidRPr="00345DBD">
        <w:rPr>
          <w:rFonts w:ascii="Cambria" w:hAnsi="Cambria"/>
          <w:i/>
          <w:sz w:val="20"/>
          <w:szCs w:val="20"/>
          <w:lang w:val="es-AR"/>
        </w:rPr>
        <w:t xml:space="preserve"> contra I. Municipalidad de Parral</w:t>
      </w:r>
      <w:r>
        <w:rPr>
          <w:rFonts w:ascii="Cambria" w:hAnsi="Cambria"/>
          <w:sz w:val="20"/>
          <w:szCs w:val="20"/>
          <w:lang w:val="es-AR"/>
        </w:rPr>
        <w:t xml:space="preserve">”, Rol. No. </w:t>
      </w:r>
      <w:r w:rsidR="00345DBD">
        <w:rPr>
          <w:rFonts w:ascii="Cambria" w:hAnsi="Cambria"/>
          <w:sz w:val="20"/>
          <w:szCs w:val="20"/>
          <w:lang w:val="es-AR"/>
        </w:rPr>
        <w:t xml:space="preserve">4.051-1992, confirmada en segunda instancia el 25 de </w:t>
      </w:r>
      <w:r w:rsidR="005028AD">
        <w:rPr>
          <w:rFonts w:ascii="Cambria" w:hAnsi="Cambria"/>
          <w:sz w:val="20"/>
          <w:szCs w:val="20"/>
          <w:lang w:val="es-AR"/>
        </w:rPr>
        <w:t>noviembre</w:t>
      </w:r>
      <w:r w:rsidR="00345DBD">
        <w:rPr>
          <w:rFonts w:ascii="Cambria" w:hAnsi="Cambria"/>
          <w:sz w:val="20"/>
          <w:szCs w:val="20"/>
          <w:lang w:val="es-AR"/>
        </w:rPr>
        <w:t xml:space="preserve"> de 1993</w:t>
      </w:r>
      <w:r w:rsidR="005028AD">
        <w:rPr>
          <w:rStyle w:val="FootnoteReference"/>
          <w:rFonts w:ascii="Cambria" w:hAnsi="Cambria"/>
          <w:sz w:val="20"/>
          <w:szCs w:val="20"/>
          <w:lang w:val="es-AR"/>
        </w:rPr>
        <w:footnoteReference w:id="29"/>
      </w:r>
      <w:r w:rsidR="00345DBD">
        <w:rPr>
          <w:rFonts w:ascii="Cambria" w:hAnsi="Cambria"/>
          <w:sz w:val="20"/>
          <w:szCs w:val="20"/>
          <w:lang w:val="es-AR"/>
        </w:rPr>
        <w:t>.</w:t>
      </w:r>
    </w:p>
    <w:p w14:paraId="28E0E742" w14:textId="77777777" w:rsidR="00A94143" w:rsidRDefault="00A9414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Juzgado del Trabajo de Parral, en autos caratulados “</w:t>
      </w:r>
      <w:r w:rsidR="00345DBD" w:rsidRPr="00345DBD">
        <w:rPr>
          <w:rFonts w:ascii="Cambria" w:hAnsi="Cambria"/>
          <w:i/>
          <w:sz w:val="20"/>
          <w:szCs w:val="20"/>
          <w:lang w:val="es-AR"/>
        </w:rPr>
        <w:t>Salazar</w:t>
      </w:r>
      <w:r w:rsidRPr="00345DBD">
        <w:rPr>
          <w:rFonts w:ascii="Cambria" w:hAnsi="Cambria"/>
          <w:i/>
          <w:sz w:val="20"/>
          <w:szCs w:val="20"/>
          <w:lang w:val="es-AR"/>
        </w:rPr>
        <w:t xml:space="preserve"> contra I. Municipalidad de Parral</w:t>
      </w:r>
      <w:r>
        <w:rPr>
          <w:rFonts w:ascii="Cambria" w:hAnsi="Cambria"/>
          <w:sz w:val="20"/>
          <w:szCs w:val="20"/>
          <w:lang w:val="es-AR"/>
        </w:rPr>
        <w:t xml:space="preserve">”, Rol. No. </w:t>
      </w:r>
      <w:r w:rsidR="00345DBD">
        <w:rPr>
          <w:rFonts w:ascii="Cambria" w:hAnsi="Cambria"/>
          <w:sz w:val="20"/>
          <w:szCs w:val="20"/>
          <w:lang w:val="es-AR"/>
        </w:rPr>
        <w:t>4.096</w:t>
      </w:r>
      <w:r>
        <w:rPr>
          <w:rFonts w:ascii="Cambria" w:hAnsi="Cambria"/>
          <w:sz w:val="20"/>
          <w:szCs w:val="20"/>
          <w:lang w:val="es-AR"/>
        </w:rPr>
        <w:t>-199</w:t>
      </w:r>
      <w:r w:rsidR="00345DBD">
        <w:rPr>
          <w:rFonts w:ascii="Cambria" w:hAnsi="Cambria"/>
          <w:sz w:val="20"/>
          <w:szCs w:val="20"/>
          <w:lang w:val="es-AR"/>
        </w:rPr>
        <w:t xml:space="preserve">2, confirmada en segunda instancia el 19 de </w:t>
      </w:r>
      <w:r w:rsidR="00AC40B7">
        <w:rPr>
          <w:rFonts w:ascii="Cambria" w:hAnsi="Cambria"/>
          <w:sz w:val="20"/>
          <w:szCs w:val="20"/>
          <w:lang w:val="es-AR"/>
        </w:rPr>
        <w:t>noviembre</w:t>
      </w:r>
      <w:r w:rsidR="00345DBD">
        <w:rPr>
          <w:rFonts w:ascii="Cambria" w:hAnsi="Cambria"/>
          <w:sz w:val="20"/>
          <w:szCs w:val="20"/>
          <w:lang w:val="es-AR"/>
        </w:rPr>
        <w:t xml:space="preserve"> de 1993</w:t>
      </w:r>
      <w:r w:rsidR="00AC40B7">
        <w:rPr>
          <w:rStyle w:val="FootnoteReference"/>
          <w:rFonts w:ascii="Cambria" w:hAnsi="Cambria"/>
          <w:sz w:val="20"/>
          <w:szCs w:val="20"/>
          <w:lang w:val="es-AR"/>
        </w:rPr>
        <w:footnoteReference w:id="30"/>
      </w:r>
      <w:r w:rsidR="00345DBD">
        <w:rPr>
          <w:rFonts w:ascii="Cambria" w:hAnsi="Cambria"/>
          <w:sz w:val="20"/>
          <w:szCs w:val="20"/>
          <w:lang w:val="es-AR"/>
        </w:rPr>
        <w:t>.</w:t>
      </w:r>
    </w:p>
    <w:p w14:paraId="5714A884" w14:textId="77777777" w:rsidR="00A94143" w:rsidRDefault="00A9414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 xml:space="preserve">Juzgado del Trabajo de </w:t>
      </w:r>
      <w:r w:rsidR="00345DBD">
        <w:rPr>
          <w:rFonts w:ascii="Cambria" w:hAnsi="Cambria"/>
          <w:sz w:val="20"/>
          <w:szCs w:val="20"/>
          <w:lang w:val="es-AR"/>
        </w:rPr>
        <w:t>Vallenar</w:t>
      </w:r>
      <w:r>
        <w:rPr>
          <w:rFonts w:ascii="Cambria" w:hAnsi="Cambria"/>
          <w:sz w:val="20"/>
          <w:szCs w:val="20"/>
          <w:lang w:val="es-AR"/>
        </w:rPr>
        <w:t>, en autos caratulados “</w:t>
      </w:r>
      <w:r w:rsidR="00345DBD" w:rsidRPr="00345DBD">
        <w:rPr>
          <w:rFonts w:ascii="Cambria" w:hAnsi="Cambria"/>
          <w:i/>
          <w:sz w:val="20"/>
          <w:szCs w:val="20"/>
          <w:lang w:val="es-AR"/>
        </w:rPr>
        <w:t>Ramírez</w:t>
      </w:r>
      <w:r w:rsidRPr="00345DBD">
        <w:rPr>
          <w:rFonts w:ascii="Cambria" w:hAnsi="Cambria"/>
          <w:i/>
          <w:sz w:val="20"/>
          <w:szCs w:val="20"/>
          <w:lang w:val="es-AR"/>
        </w:rPr>
        <w:t xml:space="preserve"> contra I. Municipalidad de </w:t>
      </w:r>
      <w:r w:rsidR="00345DBD" w:rsidRPr="00345DBD">
        <w:rPr>
          <w:rFonts w:ascii="Cambria" w:hAnsi="Cambria"/>
          <w:i/>
          <w:sz w:val="20"/>
          <w:szCs w:val="20"/>
          <w:lang w:val="es-AR"/>
        </w:rPr>
        <w:t>Vallenar</w:t>
      </w:r>
      <w:r>
        <w:rPr>
          <w:rFonts w:ascii="Cambria" w:hAnsi="Cambria"/>
          <w:sz w:val="20"/>
          <w:szCs w:val="20"/>
          <w:lang w:val="es-AR"/>
        </w:rPr>
        <w:t xml:space="preserve">”, Rol. No. </w:t>
      </w:r>
      <w:r w:rsidR="00345DBD">
        <w:rPr>
          <w:rFonts w:ascii="Cambria" w:hAnsi="Cambria"/>
          <w:sz w:val="20"/>
          <w:szCs w:val="20"/>
          <w:lang w:val="es-AR"/>
        </w:rPr>
        <w:t>4.443</w:t>
      </w:r>
      <w:r>
        <w:rPr>
          <w:rFonts w:ascii="Cambria" w:hAnsi="Cambria"/>
          <w:sz w:val="20"/>
          <w:szCs w:val="20"/>
          <w:lang w:val="es-AR"/>
        </w:rPr>
        <w:t>-</w:t>
      </w:r>
      <w:r w:rsidR="00345DBD">
        <w:rPr>
          <w:rFonts w:ascii="Cambria" w:hAnsi="Cambria"/>
          <w:sz w:val="20"/>
          <w:szCs w:val="20"/>
          <w:lang w:val="es-AR"/>
        </w:rPr>
        <w:t>19</w:t>
      </w:r>
      <w:r>
        <w:rPr>
          <w:rFonts w:ascii="Cambria" w:hAnsi="Cambria"/>
          <w:sz w:val="20"/>
          <w:szCs w:val="20"/>
          <w:lang w:val="es-AR"/>
        </w:rPr>
        <w:t>93</w:t>
      </w:r>
      <w:r w:rsidR="00345DBD">
        <w:rPr>
          <w:rFonts w:ascii="Cambria" w:hAnsi="Cambria"/>
          <w:sz w:val="20"/>
          <w:szCs w:val="20"/>
          <w:lang w:val="es-AR"/>
        </w:rPr>
        <w:t>, confirmada en segunda instancia el 30 de enero de 1997</w:t>
      </w:r>
      <w:r w:rsidR="00AC40B7">
        <w:rPr>
          <w:rStyle w:val="FootnoteReference"/>
          <w:rFonts w:ascii="Cambria" w:hAnsi="Cambria"/>
          <w:sz w:val="20"/>
          <w:szCs w:val="20"/>
          <w:lang w:val="es-AR"/>
        </w:rPr>
        <w:footnoteReference w:id="31"/>
      </w:r>
      <w:r w:rsidR="00345DBD">
        <w:rPr>
          <w:rFonts w:ascii="Cambria" w:hAnsi="Cambria"/>
          <w:sz w:val="20"/>
          <w:szCs w:val="20"/>
          <w:lang w:val="es-AR"/>
        </w:rPr>
        <w:t>.</w:t>
      </w:r>
    </w:p>
    <w:p w14:paraId="4E91AC1D" w14:textId="77777777" w:rsidR="00345DBD" w:rsidRDefault="00670AE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Primer Juzgado de Letras de Cauquenes, en autos caratulados “</w:t>
      </w:r>
      <w:r>
        <w:rPr>
          <w:rFonts w:ascii="Cambria" w:hAnsi="Cambria"/>
          <w:i/>
          <w:sz w:val="20"/>
          <w:szCs w:val="20"/>
          <w:lang w:val="es-AR"/>
        </w:rPr>
        <w:t>Agurto</w:t>
      </w:r>
      <w:r w:rsidRPr="00345DBD">
        <w:rPr>
          <w:rFonts w:ascii="Cambria" w:hAnsi="Cambria"/>
          <w:i/>
          <w:sz w:val="20"/>
          <w:szCs w:val="20"/>
          <w:lang w:val="es-AR"/>
        </w:rPr>
        <w:t xml:space="preserve"> contra I. Municipalidad de </w:t>
      </w:r>
      <w:r>
        <w:rPr>
          <w:rFonts w:ascii="Cambria" w:hAnsi="Cambria"/>
          <w:i/>
          <w:sz w:val="20"/>
          <w:szCs w:val="20"/>
          <w:lang w:val="es-AR"/>
        </w:rPr>
        <w:t>Cauquenes</w:t>
      </w:r>
      <w:r>
        <w:rPr>
          <w:rFonts w:ascii="Cambria" w:hAnsi="Cambria"/>
          <w:sz w:val="20"/>
          <w:szCs w:val="20"/>
          <w:lang w:val="es-AR"/>
        </w:rPr>
        <w:t>”, Rol. No. 63-1993, confirmada en segunda instancia el 30 de agosto de 1993</w:t>
      </w:r>
      <w:r w:rsidR="00AC40B7">
        <w:rPr>
          <w:rStyle w:val="FootnoteReference"/>
          <w:rFonts w:ascii="Cambria" w:hAnsi="Cambria"/>
          <w:sz w:val="20"/>
          <w:szCs w:val="20"/>
          <w:lang w:val="es-AR"/>
        </w:rPr>
        <w:footnoteReference w:id="32"/>
      </w:r>
      <w:r>
        <w:rPr>
          <w:rFonts w:ascii="Cambria" w:hAnsi="Cambria"/>
          <w:sz w:val="20"/>
          <w:szCs w:val="20"/>
          <w:lang w:val="es-AR"/>
        </w:rPr>
        <w:t>.</w:t>
      </w:r>
    </w:p>
    <w:p w14:paraId="4584BE69" w14:textId="77777777" w:rsidR="00670AE3" w:rsidRDefault="00670AE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Primer Juzgado de Letras de Cauquenes, en autos caratulados “</w:t>
      </w:r>
      <w:r>
        <w:rPr>
          <w:rFonts w:ascii="Cambria" w:hAnsi="Cambria"/>
          <w:i/>
          <w:sz w:val="20"/>
          <w:szCs w:val="20"/>
          <w:lang w:val="es-AR"/>
        </w:rPr>
        <w:t>Barra</w:t>
      </w:r>
      <w:r w:rsidRPr="00345DBD">
        <w:rPr>
          <w:rFonts w:ascii="Cambria" w:hAnsi="Cambria"/>
          <w:i/>
          <w:sz w:val="20"/>
          <w:szCs w:val="20"/>
          <w:lang w:val="es-AR"/>
        </w:rPr>
        <w:t xml:space="preserve"> contra I. Municipalidad de </w:t>
      </w:r>
      <w:r>
        <w:rPr>
          <w:rFonts w:ascii="Cambria" w:hAnsi="Cambria"/>
          <w:i/>
          <w:sz w:val="20"/>
          <w:szCs w:val="20"/>
          <w:lang w:val="es-AR"/>
        </w:rPr>
        <w:t>Cauquenes</w:t>
      </w:r>
      <w:r>
        <w:rPr>
          <w:rFonts w:ascii="Cambria" w:hAnsi="Cambria"/>
          <w:sz w:val="20"/>
          <w:szCs w:val="20"/>
          <w:lang w:val="es-AR"/>
        </w:rPr>
        <w:t>”, Rol. No. 123-1993,</w:t>
      </w:r>
      <w:r w:rsidRPr="00670AE3">
        <w:rPr>
          <w:rFonts w:ascii="Cambria" w:hAnsi="Cambria"/>
          <w:sz w:val="20"/>
          <w:szCs w:val="20"/>
          <w:lang w:val="es-AR"/>
        </w:rPr>
        <w:t xml:space="preserve"> </w:t>
      </w:r>
      <w:r w:rsidRPr="00AC40B7">
        <w:rPr>
          <w:rFonts w:ascii="Cambria" w:hAnsi="Cambria"/>
          <w:sz w:val="20"/>
          <w:szCs w:val="20"/>
          <w:lang w:val="es-AR"/>
        </w:rPr>
        <w:t>con sentencia definitiva favorable el 18 de enero de 1995</w:t>
      </w:r>
      <w:r w:rsidR="005028AD" w:rsidRPr="00AC40B7">
        <w:rPr>
          <w:rStyle w:val="FootnoteReference"/>
          <w:rFonts w:ascii="Cambria" w:hAnsi="Cambria"/>
          <w:sz w:val="20"/>
          <w:szCs w:val="20"/>
          <w:lang w:val="es-AR"/>
        </w:rPr>
        <w:footnoteReference w:id="33"/>
      </w:r>
      <w:r w:rsidRPr="00AC40B7">
        <w:rPr>
          <w:rFonts w:ascii="Cambria" w:hAnsi="Cambria"/>
          <w:sz w:val="20"/>
          <w:szCs w:val="20"/>
          <w:lang w:val="es-AR"/>
        </w:rPr>
        <w:t>.</w:t>
      </w:r>
    </w:p>
    <w:p w14:paraId="10898EE0" w14:textId="77777777" w:rsidR="00670AE3" w:rsidRDefault="00670AE3" w:rsidP="00A27CA2">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260"/>
        </w:tabs>
        <w:ind w:left="1170" w:hanging="630"/>
        <w:jc w:val="both"/>
        <w:rPr>
          <w:rFonts w:ascii="Cambria" w:hAnsi="Cambria"/>
          <w:sz w:val="20"/>
          <w:szCs w:val="20"/>
          <w:lang w:val="es-AR"/>
        </w:rPr>
      </w:pPr>
      <w:r>
        <w:rPr>
          <w:rFonts w:ascii="Cambria" w:hAnsi="Cambria"/>
          <w:sz w:val="20"/>
          <w:szCs w:val="20"/>
          <w:lang w:val="es-AR"/>
        </w:rPr>
        <w:t>Primer Juzgado de Letras de Cauquenes, en autos caratulados “</w:t>
      </w:r>
      <w:r>
        <w:rPr>
          <w:rFonts w:ascii="Cambria" w:hAnsi="Cambria"/>
          <w:i/>
          <w:sz w:val="20"/>
          <w:szCs w:val="20"/>
          <w:lang w:val="es-AR"/>
        </w:rPr>
        <w:t>Aguilera</w:t>
      </w:r>
      <w:r w:rsidRPr="00345DBD">
        <w:rPr>
          <w:rFonts w:ascii="Cambria" w:hAnsi="Cambria"/>
          <w:i/>
          <w:sz w:val="20"/>
          <w:szCs w:val="20"/>
          <w:lang w:val="es-AR"/>
        </w:rPr>
        <w:t xml:space="preserve"> contra I. Municipalidad de </w:t>
      </w:r>
      <w:r>
        <w:rPr>
          <w:rFonts w:ascii="Cambria" w:hAnsi="Cambria"/>
          <w:i/>
          <w:sz w:val="20"/>
          <w:szCs w:val="20"/>
          <w:lang w:val="es-AR"/>
        </w:rPr>
        <w:t>Cauquenes</w:t>
      </w:r>
      <w:r>
        <w:rPr>
          <w:rFonts w:ascii="Cambria" w:hAnsi="Cambria"/>
          <w:sz w:val="20"/>
          <w:szCs w:val="20"/>
          <w:lang w:val="es-AR"/>
        </w:rPr>
        <w:t>”, Rol. No. 38-1993, confirmada en segunda instancia el 12 de enero de 1994</w:t>
      </w:r>
      <w:r w:rsidR="001701D6">
        <w:rPr>
          <w:rStyle w:val="FootnoteReference"/>
          <w:rFonts w:ascii="Cambria" w:hAnsi="Cambria"/>
          <w:sz w:val="20"/>
          <w:szCs w:val="20"/>
          <w:lang w:val="es-AR"/>
        </w:rPr>
        <w:footnoteReference w:id="34"/>
      </w:r>
      <w:r>
        <w:rPr>
          <w:rFonts w:ascii="Cambria" w:hAnsi="Cambria"/>
          <w:sz w:val="20"/>
          <w:szCs w:val="20"/>
          <w:lang w:val="es-AR"/>
        </w:rPr>
        <w:t>.</w:t>
      </w:r>
    </w:p>
    <w:p w14:paraId="083ADADB" w14:textId="77777777" w:rsidR="006468CB" w:rsidRDefault="006468CB" w:rsidP="006468C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AR"/>
        </w:rPr>
      </w:pPr>
    </w:p>
    <w:p w14:paraId="54EAAEDE" w14:textId="77777777" w:rsidR="0096420D" w:rsidRDefault="0096420D" w:rsidP="00A27C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La siguiente Tabla No. 1 resume el curso</w:t>
      </w:r>
      <w:r w:rsidR="006468CB">
        <w:rPr>
          <w:rFonts w:ascii="Cambria" w:hAnsi="Cambria"/>
          <w:sz w:val="20"/>
          <w:szCs w:val="20"/>
          <w:lang w:val="es-AR"/>
        </w:rPr>
        <w:t xml:space="preserve"> del litigio de estas 13 causas, incluyendo las fechas de </w:t>
      </w:r>
      <w:r w:rsidR="004A4F36">
        <w:rPr>
          <w:rFonts w:ascii="Cambria" w:hAnsi="Cambria"/>
          <w:sz w:val="20"/>
          <w:szCs w:val="20"/>
          <w:lang w:val="es-AR"/>
        </w:rPr>
        <w:t xml:space="preserve">las </w:t>
      </w:r>
      <w:r w:rsidR="006468CB">
        <w:rPr>
          <w:rFonts w:ascii="Cambria" w:hAnsi="Cambria"/>
          <w:sz w:val="20"/>
          <w:szCs w:val="20"/>
          <w:lang w:val="es-AR"/>
        </w:rPr>
        <w:t xml:space="preserve">sentencias y la última fecha en que la parte peticionaria ha reportado la realización de una liquidación del </w:t>
      </w:r>
      <w:r w:rsidR="00CC0301">
        <w:rPr>
          <w:rFonts w:ascii="Cambria" w:hAnsi="Cambria"/>
          <w:sz w:val="20"/>
          <w:szCs w:val="20"/>
          <w:lang w:val="es-AR"/>
        </w:rPr>
        <w:t xml:space="preserve">monto </w:t>
      </w:r>
      <w:r w:rsidR="006468CB">
        <w:rPr>
          <w:rFonts w:ascii="Cambria" w:hAnsi="Cambria"/>
          <w:sz w:val="20"/>
          <w:szCs w:val="20"/>
          <w:lang w:val="es-AR"/>
        </w:rPr>
        <w:t xml:space="preserve">total debido a los docentes en cada causa. De acuerdo con esta información, estas 13 causas abarcan un total de 848 profesores, </w:t>
      </w:r>
      <w:r w:rsidR="00D8568C">
        <w:rPr>
          <w:rFonts w:ascii="Cambria" w:hAnsi="Cambria"/>
          <w:sz w:val="20"/>
          <w:szCs w:val="20"/>
          <w:lang w:val="es-AR"/>
        </w:rPr>
        <w:t>y una deuda total de acuerdo con las últimas liquidaciones en las varias causas que ascendería a $ 18.870.211.130 pesos chilenos.</w:t>
      </w:r>
    </w:p>
    <w:p w14:paraId="4A43540A" w14:textId="77777777" w:rsidR="00A94143" w:rsidRDefault="00A9414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AR"/>
        </w:rPr>
      </w:pPr>
    </w:p>
    <w:p w14:paraId="13FBD1DC" w14:textId="77777777" w:rsidR="004D2628" w:rsidRPr="004D2628" w:rsidRDefault="004D2628"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20"/>
          <w:szCs w:val="20"/>
          <w:lang w:val="es-AR"/>
        </w:rPr>
      </w:pPr>
      <w:r w:rsidRPr="004D2628">
        <w:rPr>
          <w:rFonts w:ascii="Cambria" w:hAnsi="Cambria"/>
          <w:b/>
          <w:sz w:val="20"/>
          <w:szCs w:val="20"/>
          <w:lang w:val="es-AR"/>
        </w:rPr>
        <w:t>Tabla No. 1</w:t>
      </w:r>
      <w:r w:rsidR="00CB3F76">
        <w:rPr>
          <w:rStyle w:val="FootnoteReference"/>
          <w:rFonts w:ascii="Cambria" w:hAnsi="Cambria"/>
          <w:b/>
          <w:sz w:val="20"/>
          <w:szCs w:val="20"/>
          <w:lang w:val="es-AR"/>
        </w:rPr>
        <w:footnoteReference w:id="35"/>
      </w:r>
      <w:r w:rsidRPr="004D2628">
        <w:rPr>
          <w:rFonts w:ascii="Cambria" w:hAnsi="Cambria"/>
          <w:b/>
          <w:sz w:val="20"/>
          <w:szCs w:val="20"/>
          <w:lang w:val="es-AR"/>
        </w:rPr>
        <w:t>.</w:t>
      </w:r>
    </w:p>
    <w:tbl>
      <w:tblPr>
        <w:tblStyle w:val="TableGrid"/>
        <w:tblW w:w="9355" w:type="dxa"/>
        <w:tblLayout w:type="fixed"/>
        <w:tblLook w:val="04A0" w:firstRow="1" w:lastRow="0" w:firstColumn="1" w:lastColumn="0" w:noHBand="0" w:noVBand="1"/>
      </w:tblPr>
      <w:tblGrid>
        <w:gridCol w:w="1165"/>
        <w:gridCol w:w="796"/>
        <w:gridCol w:w="734"/>
        <w:gridCol w:w="1260"/>
        <w:gridCol w:w="1260"/>
        <w:gridCol w:w="1260"/>
        <w:gridCol w:w="1260"/>
        <w:gridCol w:w="1620"/>
      </w:tblGrid>
      <w:tr w:rsidR="00E676EC" w:rsidRPr="00E676EC" w14:paraId="55778311" w14:textId="77777777" w:rsidTr="00E676EC">
        <w:tc>
          <w:tcPr>
            <w:tcW w:w="1165" w:type="dxa"/>
          </w:tcPr>
          <w:p w14:paraId="3EAEB0AD" w14:textId="77777777" w:rsidR="00345DBD" w:rsidRPr="00E676EC" w:rsidRDefault="00345DBD" w:rsidP="00E676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18"/>
                <w:szCs w:val="18"/>
                <w:lang w:val="es-AR"/>
              </w:rPr>
            </w:pPr>
            <w:r w:rsidRPr="00E676EC">
              <w:rPr>
                <w:rFonts w:ascii="Cambria" w:hAnsi="Cambria"/>
                <w:b/>
                <w:sz w:val="18"/>
                <w:szCs w:val="18"/>
                <w:lang w:val="es-AR"/>
              </w:rPr>
              <w:t>Nombre juicio</w:t>
            </w:r>
          </w:p>
        </w:tc>
        <w:tc>
          <w:tcPr>
            <w:tcW w:w="796" w:type="dxa"/>
          </w:tcPr>
          <w:p w14:paraId="4EBCA8D3" w14:textId="77777777" w:rsidR="00345DBD" w:rsidRPr="00E676EC" w:rsidRDefault="00345DBD" w:rsidP="00E676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18"/>
                <w:szCs w:val="18"/>
                <w:lang w:val="es-AR"/>
              </w:rPr>
            </w:pPr>
            <w:r w:rsidRPr="00E676EC">
              <w:rPr>
                <w:rFonts w:ascii="Cambria" w:hAnsi="Cambria"/>
                <w:b/>
                <w:sz w:val="18"/>
                <w:szCs w:val="18"/>
                <w:lang w:val="es-AR"/>
              </w:rPr>
              <w:t>Rol. No.</w:t>
            </w:r>
          </w:p>
        </w:tc>
        <w:tc>
          <w:tcPr>
            <w:tcW w:w="734" w:type="dxa"/>
          </w:tcPr>
          <w:p w14:paraId="36A58789" w14:textId="77777777" w:rsidR="00345DBD" w:rsidRPr="00E676EC" w:rsidRDefault="00345DBD" w:rsidP="00E676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18"/>
                <w:szCs w:val="18"/>
                <w:lang w:val="es-AR"/>
              </w:rPr>
            </w:pPr>
            <w:r w:rsidRPr="00E676EC">
              <w:rPr>
                <w:rFonts w:ascii="Cambria" w:hAnsi="Cambria"/>
                <w:b/>
                <w:sz w:val="18"/>
                <w:szCs w:val="18"/>
                <w:lang w:val="es-AR"/>
              </w:rPr>
              <w:t>Docentes</w:t>
            </w:r>
          </w:p>
        </w:tc>
        <w:tc>
          <w:tcPr>
            <w:tcW w:w="1260" w:type="dxa"/>
          </w:tcPr>
          <w:p w14:paraId="074D674B" w14:textId="77777777" w:rsidR="00345DBD" w:rsidRPr="00E676EC" w:rsidRDefault="00345DBD" w:rsidP="00E676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18"/>
                <w:szCs w:val="18"/>
                <w:lang w:val="es-AR"/>
              </w:rPr>
            </w:pPr>
            <w:r w:rsidRPr="00E676EC">
              <w:rPr>
                <w:rFonts w:ascii="Cambria" w:hAnsi="Cambria"/>
                <w:b/>
                <w:sz w:val="18"/>
                <w:szCs w:val="18"/>
                <w:lang w:val="es-AR"/>
              </w:rPr>
              <w:t>Demanda</w:t>
            </w:r>
          </w:p>
        </w:tc>
        <w:tc>
          <w:tcPr>
            <w:tcW w:w="1260" w:type="dxa"/>
          </w:tcPr>
          <w:p w14:paraId="3F805787" w14:textId="77777777" w:rsidR="00345DBD" w:rsidRPr="00E676EC" w:rsidRDefault="00345DBD" w:rsidP="00E676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18"/>
                <w:szCs w:val="18"/>
                <w:lang w:val="es-AR"/>
              </w:rPr>
            </w:pPr>
            <w:r w:rsidRPr="00E676EC">
              <w:rPr>
                <w:rFonts w:ascii="Cambria" w:hAnsi="Cambria"/>
                <w:b/>
                <w:sz w:val="18"/>
                <w:szCs w:val="18"/>
                <w:lang w:val="es-AR"/>
              </w:rPr>
              <w:t>Sentencia 1ª instancia</w:t>
            </w:r>
          </w:p>
        </w:tc>
        <w:tc>
          <w:tcPr>
            <w:tcW w:w="1260" w:type="dxa"/>
          </w:tcPr>
          <w:p w14:paraId="39AAA11F" w14:textId="77777777" w:rsidR="00345DBD" w:rsidRPr="00E676EC" w:rsidRDefault="00345DBD" w:rsidP="00E676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18"/>
                <w:szCs w:val="18"/>
                <w:lang w:val="es-AR"/>
              </w:rPr>
            </w:pPr>
            <w:r w:rsidRPr="00E676EC">
              <w:rPr>
                <w:rFonts w:ascii="Cambria" w:hAnsi="Cambria"/>
                <w:b/>
                <w:sz w:val="18"/>
                <w:szCs w:val="18"/>
                <w:lang w:val="es-AR"/>
              </w:rPr>
              <w:t>Sentencia 2ª instancia</w:t>
            </w:r>
          </w:p>
        </w:tc>
        <w:tc>
          <w:tcPr>
            <w:tcW w:w="1260" w:type="dxa"/>
          </w:tcPr>
          <w:p w14:paraId="61F3FC40" w14:textId="77777777" w:rsidR="00345DBD" w:rsidRPr="00E676EC" w:rsidRDefault="00345DBD" w:rsidP="00E676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18"/>
                <w:szCs w:val="18"/>
                <w:lang w:val="es-AR"/>
              </w:rPr>
            </w:pPr>
            <w:r w:rsidRPr="00E676EC">
              <w:rPr>
                <w:rFonts w:ascii="Cambria" w:hAnsi="Cambria"/>
                <w:b/>
                <w:sz w:val="18"/>
                <w:szCs w:val="18"/>
                <w:lang w:val="es-AR"/>
              </w:rPr>
              <w:t xml:space="preserve">Fecha liquidación </w:t>
            </w:r>
          </w:p>
        </w:tc>
        <w:tc>
          <w:tcPr>
            <w:tcW w:w="1620" w:type="dxa"/>
          </w:tcPr>
          <w:p w14:paraId="682102DB" w14:textId="77777777" w:rsidR="00345DBD" w:rsidRPr="00E676EC" w:rsidRDefault="00345DBD" w:rsidP="00E676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b/>
                <w:sz w:val="18"/>
                <w:szCs w:val="18"/>
                <w:lang w:val="es-AR"/>
              </w:rPr>
            </w:pPr>
            <w:r w:rsidRPr="00E676EC">
              <w:rPr>
                <w:rFonts w:ascii="Cambria" w:hAnsi="Cambria"/>
                <w:b/>
                <w:sz w:val="18"/>
                <w:szCs w:val="18"/>
                <w:lang w:val="es-AR"/>
              </w:rPr>
              <w:t>Monto</w:t>
            </w:r>
            <w:r w:rsidR="00A72F5D" w:rsidRPr="00E676EC">
              <w:rPr>
                <w:rFonts w:ascii="Cambria" w:hAnsi="Cambria"/>
                <w:b/>
                <w:sz w:val="18"/>
                <w:szCs w:val="18"/>
                <w:lang w:val="es-AR"/>
              </w:rPr>
              <w:t xml:space="preserve"> </w:t>
            </w:r>
            <w:r w:rsidRPr="00E676EC">
              <w:rPr>
                <w:rFonts w:ascii="Cambria" w:hAnsi="Cambria"/>
                <w:b/>
                <w:sz w:val="18"/>
                <w:szCs w:val="18"/>
                <w:lang w:val="es-AR"/>
              </w:rPr>
              <w:t>liquid</w:t>
            </w:r>
            <w:r w:rsidR="00E676EC">
              <w:rPr>
                <w:rFonts w:ascii="Cambria" w:hAnsi="Cambria"/>
                <w:b/>
                <w:sz w:val="18"/>
                <w:szCs w:val="18"/>
                <w:lang w:val="es-AR"/>
              </w:rPr>
              <w:t>-</w:t>
            </w:r>
            <w:r w:rsidRPr="00E676EC">
              <w:rPr>
                <w:rFonts w:ascii="Cambria" w:hAnsi="Cambria"/>
                <w:b/>
                <w:sz w:val="18"/>
                <w:szCs w:val="18"/>
                <w:lang w:val="es-AR"/>
              </w:rPr>
              <w:t>ación (pesos)</w:t>
            </w:r>
          </w:p>
        </w:tc>
      </w:tr>
      <w:tr w:rsidR="00E676EC" w:rsidRPr="00345DBD" w14:paraId="51C81DA2" w14:textId="77777777" w:rsidTr="00E676EC">
        <w:tc>
          <w:tcPr>
            <w:tcW w:w="1165" w:type="dxa"/>
          </w:tcPr>
          <w:p w14:paraId="64EC1883" w14:textId="77777777" w:rsidR="00670AE3" w:rsidRPr="00E676EC"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Benavides c. Chañaral</w:t>
            </w:r>
          </w:p>
        </w:tc>
        <w:tc>
          <w:tcPr>
            <w:tcW w:w="796" w:type="dxa"/>
          </w:tcPr>
          <w:p w14:paraId="507544A9" w14:textId="77777777" w:rsidR="00670AE3" w:rsidRPr="00345DBD"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18.629-1994</w:t>
            </w:r>
          </w:p>
        </w:tc>
        <w:tc>
          <w:tcPr>
            <w:tcW w:w="734" w:type="dxa"/>
          </w:tcPr>
          <w:p w14:paraId="3DD7F6E3" w14:textId="77777777" w:rsidR="00670AE3" w:rsidRDefault="00CB3F76"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Pr>
                <w:rFonts w:ascii="Cambria" w:hAnsi="Cambria"/>
                <w:sz w:val="18"/>
                <w:szCs w:val="18"/>
                <w:lang w:val="es-AR"/>
              </w:rPr>
              <w:t>80</w:t>
            </w:r>
          </w:p>
        </w:tc>
        <w:tc>
          <w:tcPr>
            <w:tcW w:w="1260" w:type="dxa"/>
          </w:tcPr>
          <w:p w14:paraId="21274719" w14:textId="77777777" w:rsidR="00670AE3" w:rsidRPr="00345DBD"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29/03/1994</w:t>
            </w:r>
          </w:p>
        </w:tc>
        <w:tc>
          <w:tcPr>
            <w:tcW w:w="1260" w:type="dxa"/>
          </w:tcPr>
          <w:p w14:paraId="7ADF3B62" w14:textId="77777777" w:rsidR="00670AE3" w:rsidRPr="00345DBD"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01/06/1994</w:t>
            </w:r>
          </w:p>
        </w:tc>
        <w:tc>
          <w:tcPr>
            <w:tcW w:w="1260" w:type="dxa"/>
          </w:tcPr>
          <w:p w14:paraId="60F60C5F" w14:textId="77777777" w:rsidR="00670AE3"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20/07/1994</w:t>
            </w:r>
          </w:p>
        </w:tc>
        <w:tc>
          <w:tcPr>
            <w:tcW w:w="1260" w:type="dxa"/>
          </w:tcPr>
          <w:p w14:paraId="5A457665" w14:textId="77777777" w:rsidR="00670AE3" w:rsidRPr="00345DBD" w:rsidRDefault="00CB3F76"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24/11/2008</w:t>
            </w:r>
          </w:p>
        </w:tc>
        <w:tc>
          <w:tcPr>
            <w:tcW w:w="1620" w:type="dxa"/>
          </w:tcPr>
          <w:p w14:paraId="35DBF162" w14:textId="77777777" w:rsidR="00670AE3" w:rsidRPr="00345DBD" w:rsidRDefault="00CB3F76"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5.267.110.263</w:t>
            </w:r>
          </w:p>
        </w:tc>
      </w:tr>
      <w:tr w:rsidR="00E676EC" w:rsidRPr="00345DBD" w14:paraId="70648DBE" w14:textId="77777777" w:rsidTr="00E676EC">
        <w:tc>
          <w:tcPr>
            <w:tcW w:w="1165" w:type="dxa"/>
          </w:tcPr>
          <w:p w14:paraId="0525B250" w14:textId="77777777" w:rsidR="00345DBD" w:rsidRPr="00E676EC" w:rsidRDefault="00345DBD" w:rsidP="00345DB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Franzani c. Chanco</w:t>
            </w:r>
          </w:p>
        </w:tc>
        <w:tc>
          <w:tcPr>
            <w:tcW w:w="796" w:type="dxa"/>
          </w:tcPr>
          <w:p w14:paraId="12364E1A"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221-1993</w:t>
            </w:r>
          </w:p>
        </w:tc>
        <w:tc>
          <w:tcPr>
            <w:tcW w:w="734" w:type="dxa"/>
          </w:tcPr>
          <w:p w14:paraId="485F0746" w14:textId="77777777" w:rsidR="00670AE3" w:rsidRPr="00345DBD" w:rsidRDefault="00670AE3"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Pr>
                <w:rFonts w:ascii="Cambria" w:hAnsi="Cambria"/>
                <w:sz w:val="18"/>
                <w:szCs w:val="18"/>
                <w:lang w:val="es-AR"/>
              </w:rPr>
              <w:t>10</w:t>
            </w:r>
          </w:p>
        </w:tc>
        <w:tc>
          <w:tcPr>
            <w:tcW w:w="1260" w:type="dxa"/>
          </w:tcPr>
          <w:p w14:paraId="00A6DB61"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13/08/1993</w:t>
            </w:r>
          </w:p>
        </w:tc>
        <w:tc>
          <w:tcPr>
            <w:tcW w:w="1260" w:type="dxa"/>
          </w:tcPr>
          <w:p w14:paraId="1C3ACEA4"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25/01/1994</w:t>
            </w:r>
          </w:p>
        </w:tc>
        <w:tc>
          <w:tcPr>
            <w:tcW w:w="1260" w:type="dxa"/>
          </w:tcPr>
          <w:p w14:paraId="1716181D"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03/06/1994</w:t>
            </w:r>
          </w:p>
        </w:tc>
        <w:tc>
          <w:tcPr>
            <w:tcW w:w="1260" w:type="dxa"/>
          </w:tcPr>
          <w:p w14:paraId="45A7C7CB"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11/08/2000</w:t>
            </w:r>
          </w:p>
        </w:tc>
        <w:tc>
          <w:tcPr>
            <w:tcW w:w="1620" w:type="dxa"/>
          </w:tcPr>
          <w:p w14:paraId="50A8A23B" w14:textId="77777777" w:rsidR="00345DBD" w:rsidRPr="00345DBD" w:rsidRDefault="00A72F5D"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301.781.665</w:t>
            </w:r>
          </w:p>
        </w:tc>
      </w:tr>
      <w:tr w:rsidR="00E676EC" w:rsidRPr="00345DBD" w14:paraId="32CEEE78" w14:textId="77777777" w:rsidTr="00E676EC">
        <w:tc>
          <w:tcPr>
            <w:tcW w:w="1165" w:type="dxa"/>
          </w:tcPr>
          <w:p w14:paraId="5C9EA9D5" w14:textId="77777777" w:rsidR="00345DBD" w:rsidRPr="00E676EC"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Franzani c. Chanco</w:t>
            </w:r>
          </w:p>
        </w:tc>
        <w:tc>
          <w:tcPr>
            <w:tcW w:w="796" w:type="dxa"/>
          </w:tcPr>
          <w:p w14:paraId="4DE63B4D"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217-1993</w:t>
            </w:r>
          </w:p>
        </w:tc>
        <w:tc>
          <w:tcPr>
            <w:tcW w:w="734" w:type="dxa"/>
          </w:tcPr>
          <w:p w14:paraId="147DDA88" w14:textId="77777777" w:rsidR="00345DBD" w:rsidRPr="009E4510" w:rsidRDefault="00670AE3"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sidRPr="009E4510">
              <w:rPr>
                <w:rFonts w:ascii="Cambria" w:hAnsi="Cambria"/>
                <w:sz w:val="18"/>
                <w:szCs w:val="18"/>
                <w:lang w:val="es-AR"/>
              </w:rPr>
              <w:t>70</w:t>
            </w:r>
          </w:p>
        </w:tc>
        <w:tc>
          <w:tcPr>
            <w:tcW w:w="1260" w:type="dxa"/>
          </w:tcPr>
          <w:p w14:paraId="3B3559EA"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25/01/1993</w:t>
            </w:r>
          </w:p>
        </w:tc>
        <w:tc>
          <w:tcPr>
            <w:tcW w:w="1260" w:type="dxa"/>
          </w:tcPr>
          <w:p w14:paraId="08C73CEE"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26/06/1993</w:t>
            </w:r>
          </w:p>
        </w:tc>
        <w:tc>
          <w:tcPr>
            <w:tcW w:w="1260" w:type="dxa"/>
          </w:tcPr>
          <w:p w14:paraId="5E791E8C"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08/09/1993</w:t>
            </w:r>
          </w:p>
        </w:tc>
        <w:tc>
          <w:tcPr>
            <w:tcW w:w="1260" w:type="dxa"/>
          </w:tcPr>
          <w:p w14:paraId="6795C184"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11/08/2000</w:t>
            </w:r>
          </w:p>
        </w:tc>
        <w:tc>
          <w:tcPr>
            <w:tcW w:w="1620" w:type="dxa"/>
          </w:tcPr>
          <w:p w14:paraId="772DCAED" w14:textId="77777777" w:rsidR="00345DBD" w:rsidRPr="00345DBD" w:rsidRDefault="00A72F5D"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2.886.938.404</w:t>
            </w:r>
          </w:p>
        </w:tc>
      </w:tr>
      <w:tr w:rsidR="00E676EC" w:rsidRPr="00345DBD" w14:paraId="5E879017" w14:textId="77777777" w:rsidTr="00E676EC">
        <w:tc>
          <w:tcPr>
            <w:tcW w:w="1165" w:type="dxa"/>
          </w:tcPr>
          <w:p w14:paraId="479F3B8C" w14:textId="77777777" w:rsidR="00345DBD" w:rsidRPr="00E676EC" w:rsidRDefault="00345DBD" w:rsidP="00345DB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Franzani c. Pelluhue</w:t>
            </w:r>
          </w:p>
        </w:tc>
        <w:tc>
          <w:tcPr>
            <w:tcW w:w="796" w:type="dxa"/>
          </w:tcPr>
          <w:p w14:paraId="42BC4E6A"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218-1993</w:t>
            </w:r>
          </w:p>
        </w:tc>
        <w:tc>
          <w:tcPr>
            <w:tcW w:w="734" w:type="dxa"/>
          </w:tcPr>
          <w:p w14:paraId="4D190935" w14:textId="77777777" w:rsidR="00345DBD" w:rsidRPr="009E4510" w:rsidRDefault="00DA29EC"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sidRPr="009E4510">
              <w:rPr>
                <w:rFonts w:ascii="Cambria" w:hAnsi="Cambria"/>
                <w:sz w:val="18"/>
                <w:szCs w:val="18"/>
                <w:lang w:val="es-AR"/>
              </w:rPr>
              <w:t>28</w:t>
            </w:r>
          </w:p>
        </w:tc>
        <w:tc>
          <w:tcPr>
            <w:tcW w:w="1260" w:type="dxa"/>
          </w:tcPr>
          <w:p w14:paraId="548301C8"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20/02/1993</w:t>
            </w:r>
          </w:p>
        </w:tc>
        <w:tc>
          <w:tcPr>
            <w:tcW w:w="1260" w:type="dxa"/>
          </w:tcPr>
          <w:p w14:paraId="40E83318"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31/08/1993</w:t>
            </w:r>
          </w:p>
        </w:tc>
        <w:tc>
          <w:tcPr>
            <w:tcW w:w="1260" w:type="dxa"/>
          </w:tcPr>
          <w:p w14:paraId="26FCE69A"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03/11/1993</w:t>
            </w:r>
          </w:p>
        </w:tc>
        <w:tc>
          <w:tcPr>
            <w:tcW w:w="1260" w:type="dxa"/>
          </w:tcPr>
          <w:p w14:paraId="4F277557"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24/10/1995</w:t>
            </w:r>
          </w:p>
        </w:tc>
        <w:tc>
          <w:tcPr>
            <w:tcW w:w="1620" w:type="dxa"/>
          </w:tcPr>
          <w:p w14:paraId="37CD6AD0" w14:textId="77777777" w:rsidR="00345DBD" w:rsidRPr="00345DBD" w:rsidRDefault="00A72F5D"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554.108.639</w:t>
            </w:r>
          </w:p>
        </w:tc>
      </w:tr>
      <w:tr w:rsidR="00E676EC" w:rsidRPr="00345DBD" w14:paraId="6297187C" w14:textId="77777777" w:rsidTr="00E676EC">
        <w:tc>
          <w:tcPr>
            <w:tcW w:w="1165" w:type="dxa"/>
          </w:tcPr>
          <w:p w14:paraId="11AFBD17" w14:textId="77777777" w:rsidR="00345DBD" w:rsidRPr="00E676EC" w:rsidRDefault="00345DBD" w:rsidP="00345DB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Franzani c. Pelluhue</w:t>
            </w:r>
          </w:p>
        </w:tc>
        <w:tc>
          <w:tcPr>
            <w:tcW w:w="796" w:type="dxa"/>
          </w:tcPr>
          <w:p w14:paraId="1DF5E310"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222-1993</w:t>
            </w:r>
          </w:p>
        </w:tc>
        <w:tc>
          <w:tcPr>
            <w:tcW w:w="734" w:type="dxa"/>
          </w:tcPr>
          <w:p w14:paraId="7D14B021" w14:textId="77777777" w:rsidR="00345DBD" w:rsidRPr="009E4510" w:rsidRDefault="00670AE3"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sidRPr="009E4510">
              <w:rPr>
                <w:rFonts w:ascii="Cambria" w:hAnsi="Cambria"/>
                <w:sz w:val="18"/>
                <w:szCs w:val="18"/>
                <w:lang w:val="es-AR"/>
              </w:rPr>
              <w:t>4</w:t>
            </w:r>
          </w:p>
        </w:tc>
        <w:tc>
          <w:tcPr>
            <w:tcW w:w="1260" w:type="dxa"/>
          </w:tcPr>
          <w:p w14:paraId="1DB5E198"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13/08/1993</w:t>
            </w:r>
          </w:p>
        </w:tc>
        <w:tc>
          <w:tcPr>
            <w:tcW w:w="1260" w:type="dxa"/>
          </w:tcPr>
          <w:p w14:paraId="659C4495"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27/01/1994</w:t>
            </w:r>
          </w:p>
        </w:tc>
        <w:tc>
          <w:tcPr>
            <w:tcW w:w="1260" w:type="dxa"/>
          </w:tcPr>
          <w:p w14:paraId="36FFE318"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p>
        </w:tc>
        <w:tc>
          <w:tcPr>
            <w:tcW w:w="1260" w:type="dxa"/>
          </w:tcPr>
          <w:p w14:paraId="11B7D6D4"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24/10/1995</w:t>
            </w:r>
          </w:p>
        </w:tc>
        <w:tc>
          <w:tcPr>
            <w:tcW w:w="1620" w:type="dxa"/>
          </w:tcPr>
          <w:p w14:paraId="54B944F4" w14:textId="77777777" w:rsidR="00345DBD" w:rsidRPr="00345DBD" w:rsidRDefault="00A72F5D"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63.810.169</w:t>
            </w:r>
          </w:p>
        </w:tc>
      </w:tr>
      <w:tr w:rsidR="00E676EC" w:rsidRPr="00345DBD" w14:paraId="5ABC42DE" w14:textId="77777777" w:rsidTr="00E676EC">
        <w:tc>
          <w:tcPr>
            <w:tcW w:w="1165" w:type="dxa"/>
          </w:tcPr>
          <w:p w14:paraId="599330B3" w14:textId="77777777" w:rsidR="00345DBD" w:rsidRPr="00E676EC"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Bayer c. Parral</w:t>
            </w:r>
          </w:p>
        </w:tc>
        <w:tc>
          <w:tcPr>
            <w:tcW w:w="796" w:type="dxa"/>
          </w:tcPr>
          <w:p w14:paraId="7EC03331" w14:textId="77777777" w:rsidR="00345DBD" w:rsidRPr="00345DBD"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4.274-1993</w:t>
            </w:r>
          </w:p>
        </w:tc>
        <w:tc>
          <w:tcPr>
            <w:tcW w:w="734" w:type="dxa"/>
          </w:tcPr>
          <w:p w14:paraId="2E78DBC8" w14:textId="77777777" w:rsidR="00345DBD" w:rsidRPr="009E4510" w:rsidRDefault="00670AE3"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sidRPr="009E4510">
              <w:rPr>
                <w:rFonts w:ascii="Cambria" w:hAnsi="Cambria"/>
                <w:sz w:val="18"/>
                <w:szCs w:val="18"/>
                <w:lang w:val="es-AR"/>
              </w:rPr>
              <w:t>6</w:t>
            </w:r>
          </w:p>
        </w:tc>
        <w:tc>
          <w:tcPr>
            <w:tcW w:w="1260" w:type="dxa"/>
          </w:tcPr>
          <w:p w14:paraId="6D946098"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11/05/1993</w:t>
            </w:r>
          </w:p>
        </w:tc>
        <w:tc>
          <w:tcPr>
            <w:tcW w:w="1260" w:type="dxa"/>
          </w:tcPr>
          <w:p w14:paraId="704A985C"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27/01/1994</w:t>
            </w:r>
          </w:p>
        </w:tc>
        <w:tc>
          <w:tcPr>
            <w:tcW w:w="1260" w:type="dxa"/>
          </w:tcPr>
          <w:p w14:paraId="78C3E60C"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p>
        </w:tc>
        <w:tc>
          <w:tcPr>
            <w:tcW w:w="1260" w:type="dxa"/>
          </w:tcPr>
          <w:p w14:paraId="0E5D5878"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20/10/1999</w:t>
            </w:r>
          </w:p>
        </w:tc>
        <w:tc>
          <w:tcPr>
            <w:tcW w:w="1620" w:type="dxa"/>
          </w:tcPr>
          <w:p w14:paraId="2E179BAF" w14:textId="77777777" w:rsidR="00345DBD" w:rsidRPr="00345DBD" w:rsidRDefault="00A72F5D"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115.683.632</w:t>
            </w:r>
          </w:p>
        </w:tc>
      </w:tr>
      <w:tr w:rsidR="00E676EC" w:rsidRPr="00345DBD" w14:paraId="6BEE90CE" w14:textId="77777777" w:rsidTr="00E676EC">
        <w:tc>
          <w:tcPr>
            <w:tcW w:w="1165" w:type="dxa"/>
          </w:tcPr>
          <w:p w14:paraId="035E24A1" w14:textId="77777777" w:rsidR="00345DBD" w:rsidRPr="00E676EC"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Bustamante c. Parral</w:t>
            </w:r>
          </w:p>
        </w:tc>
        <w:tc>
          <w:tcPr>
            <w:tcW w:w="796" w:type="dxa"/>
          </w:tcPr>
          <w:p w14:paraId="4DAFF021" w14:textId="77777777" w:rsidR="00345DBD" w:rsidRPr="00345DBD"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4.071-1992</w:t>
            </w:r>
          </w:p>
        </w:tc>
        <w:tc>
          <w:tcPr>
            <w:tcW w:w="734" w:type="dxa"/>
          </w:tcPr>
          <w:p w14:paraId="719C124E" w14:textId="77777777" w:rsidR="00345DBD" w:rsidRPr="009E4510" w:rsidRDefault="00670AE3"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sidRPr="009E4510">
              <w:rPr>
                <w:rFonts w:ascii="Cambria" w:hAnsi="Cambria"/>
                <w:sz w:val="18"/>
                <w:szCs w:val="18"/>
                <w:lang w:val="es-AR"/>
              </w:rPr>
              <w:t>27</w:t>
            </w:r>
          </w:p>
        </w:tc>
        <w:tc>
          <w:tcPr>
            <w:tcW w:w="1260" w:type="dxa"/>
          </w:tcPr>
          <w:p w14:paraId="0B771EE5"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09/09/1992</w:t>
            </w:r>
          </w:p>
        </w:tc>
        <w:tc>
          <w:tcPr>
            <w:tcW w:w="1260" w:type="dxa"/>
          </w:tcPr>
          <w:p w14:paraId="73E8E1AC"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24/05/1993</w:t>
            </w:r>
          </w:p>
        </w:tc>
        <w:tc>
          <w:tcPr>
            <w:tcW w:w="1260" w:type="dxa"/>
          </w:tcPr>
          <w:p w14:paraId="48268350"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30/09/1993</w:t>
            </w:r>
          </w:p>
        </w:tc>
        <w:tc>
          <w:tcPr>
            <w:tcW w:w="1260" w:type="dxa"/>
          </w:tcPr>
          <w:p w14:paraId="08886969"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20/10/1999</w:t>
            </w:r>
          </w:p>
        </w:tc>
        <w:tc>
          <w:tcPr>
            <w:tcW w:w="1620" w:type="dxa"/>
          </w:tcPr>
          <w:p w14:paraId="74409059" w14:textId="77777777" w:rsidR="00345DBD" w:rsidRPr="00345DBD" w:rsidRDefault="00A72F5D"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1.427.042.950</w:t>
            </w:r>
          </w:p>
        </w:tc>
      </w:tr>
      <w:tr w:rsidR="00E676EC" w:rsidRPr="00345DBD" w14:paraId="6898EE6C" w14:textId="77777777" w:rsidTr="00E676EC">
        <w:tc>
          <w:tcPr>
            <w:tcW w:w="1165" w:type="dxa"/>
          </w:tcPr>
          <w:p w14:paraId="3A360D06" w14:textId="77777777" w:rsidR="00345DBD" w:rsidRPr="00E676EC"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Belmar c. Parral</w:t>
            </w:r>
          </w:p>
        </w:tc>
        <w:tc>
          <w:tcPr>
            <w:tcW w:w="796" w:type="dxa"/>
          </w:tcPr>
          <w:p w14:paraId="469E5F18" w14:textId="77777777" w:rsidR="00345DBD" w:rsidRPr="00345DBD"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4.051-1992</w:t>
            </w:r>
          </w:p>
        </w:tc>
        <w:tc>
          <w:tcPr>
            <w:tcW w:w="734" w:type="dxa"/>
          </w:tcPr>
          <w:p w14:paraId="44B2F33C" w14:textId="77777777" w:rsidR="00345DBD" w:rsidRPr="009E4510" w:rsidRDefault="00670AE3"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sidRPr="009E4510">
              <w:rPr>
                <w:rFonts w:ascii="Cambria" w:hAnsi="Cambria"/>
                <w:sz w:val="18"/>
                <w:szCs w:val="18"/>
                <w:lang w:val="es-AR"/>
              </w:rPr>
              <w:t>35</w:t>
            </w:r>
          </w:p>
        </w:tc>
        <w:tc>
          <w:tcPr>
            <w:tcW w:w="1260" w:type="dxa"/>
          </w:tcPr>
          <w:p w14:paraId="202A24A2"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10/07/1992</w:t>
            </w:r>
          </w:p>
        </w:tc>
        <w:tc>
          <w:tcPr>
            <w:tcW w:w="1260" w:type="dxa"/>
          </w:tcPr>
          <w:p w14:paraId="0BCC1A8B"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20/04/1993</w:t>
            </w:r>
          </w:p>
        </w:tc>
        <w:tc>
          <w:tcPr>
            <w:tcW w:w="1260" w:type="dxa"/>
          </w:tcPr>
          <w:p w14:paraId="3023091C" w14:textId="77777777" w:rsidR="00345DBD" w:rsidRPr="00345DBD" w:rsidRDefault="00A72F5D" w:rsidP="005028A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25/1</w:t>
            </w:r>
            <w:r w:rsidR="005028AD">
              <w:rPr>
                <w:rFonts w:ascii="Cambria" w:hAnsi="Cambria"/>
                <w:sz w:val="18"/>
                <w:szCs w:val="18"/>
                <w:lang w:val="es-AR"/>
              </w:rPr>
              <w:t>1</w:t>
            </w:r>
            <w:r>
              <w:rPr>
                <w:rFonts w:ascii="Cambria" w:hAnsi="Cambria"/>
                <w:sz w:val="18"/>
                <w:szCs w:val="18"/>
                <w:lang w:val="es-AR"/>
              </w:rPr>
              <w:t>/1993</w:t>
            </w:r>
          </w:p>
        </w:tc>
        <w:tc>
          <w:tcPr>
            <w:tcW w:w="1260" w:type="dxa"/>
          </w:tcPr>
          <w:p w14:paraId="4B213D01"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20/10/1999</w:t>
            </w:r>
          </w:p>
        </w:tc>
        <w:tc>
          <w:tcPr>
            <w:tcW w:w="1620" w:type="dxa"/>
          </w:tcPr>
          <w:p w14:paraId="552E344A" w14:textId="77777777" w:rsidR="00345DBD" w:rsidRPr="00345DBD" w:rsidRDefault="00A72F5D"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1.131.662.347</w:t>
            </w:r>
          </w:p>
        </w:tc>
      </w:tr>
      <w:tr w:rsidR="00E676EC" w:rsidRPr="00345DBD" w14:paraId="6A3E0212" w14:textId="77777777" w:rsidTr="00E676EC">
        <w:tc>
          <w:tcPr>
            <w:tcW w:w="1165" w:type="dxa"/>
          </w:tcPr>
          <w:p w14:paraId="4DFF8285" w14:textId="77777777" w:rsidR="00345DBD" w:rsidRPr="00E676EC"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Salazar c. Parral</w:t>
            </w:r>
          </w:p>
        </w:tc>
        <w:tc>
          <w:tcPr>
            <w:tcW w:w="796" w:type="dxa"/>
          </w:tcPr>
          <w:p w14:paraId="5E3F07A0" w14:textId="77777777" w:rsidR="00345DBD" w:rsidRPr="00345DBD"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4.096-1992</w:t>
            </w:r>
          </w:p>
        </w:tc>
        <w:tc>
          <w:tcPr>
            <w:tcW w:w="734" w:type="dxa"/>
          </w:tcPr>
          <w:p w14:paraId="331460C3" w14:textId="77777777" w:rsidR="00345DBD" w:rsidRPr="009E4510" w:rsidRDefault="00670AE3"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sidRPr="009E4510">
              <w:rPr>
                <w:rFonts w:ascii="Cambria" w:hAnsi="Cambria"/>
                <w:sz w:val="18"/>
                <w:szCs w:val="18"/>
                <w:lang w:val="es-AR"/>
              </w:rPr>
              <w:t>22</w:t>
            </w:r>
          </w:p>
        </w:tc>
        <w:tc>
          <w:tcPr>
            <w:tcW w:w="1260" w:type="dxa"/>
          </w:tcPr>
          <w:p w14:paraId="2FD0F84D"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22/10/1992</w:t>
            </w:r>
          </w:p>
        </w:tc>
        <w:tc>
          <w:tcPr>
            <w:tcW w:w="1260" w:type="dxa"/>
          </w:tcPr>
          <w:p w14:paraId="7ED2652E"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12/06/1993</w:t>
            </w:r>
          </w:p>
        </w:tc>
        <w:tc>
          <w:tcPr>
            <w:tcW w:w="1260" w:type="dxa"/>
          </w:tcPr>
          <w:p w14:paraId="6880934A" w14:textId="77777777" w:rsidR="00345DBD" w:rsidRPr="00345DBD" w:rsidRDefault="00A72F5D" w:rsidP="00AC40B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19/</w:t>
            </w:r>
            <w:r w:rsidR="00AC40B7">
              <w:rPr>
                <w:rFonts w:ascii="Cambria" w:hAnsi="Cambria"/>
                <w:sz w:val="18"/>
                <w:szCs w:val="18"/>
                <w:lang w:val="es-AR"/>
              </w:rPr>
              <w:t>11</w:t>
            </w:r>
            <w:r>
              <w:rPr>
                <w:rFonts w:ascii="Cambria" w:hAnsi="Cambria"/>
                <w:sz w:val="18"/>
                <w:szCs w:val="18"/>
                <w:lang w:val="es-AR"/>
              </w:rPr>
              <w:t>/1993</w:t>
            </w:r>
          </w:p>
        </w:tc>
        <w:tc>
          <w:tcPr>
            <w:tcW w:w="1260" w:type="dxa"/>
          </w:tcPr>
          <w:p w14:paraId="279F6835"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20/10/1999</w:t>
            </w:r>
          </w:p>
        </w:tc>
        <w:tc>
          <w:tcPr>
            <w:tcW w:w="1620" w:type="dxa"/>
          </w:tcPr>
          <w:p w14:paraId="296D896E" w14:textId="77777777" w:rsidR="00345DBD" w:rsidRPr="00345DBD" w:rsidRDefault="00AC40B7"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940.651.465</w:t>
            </w:r>
            <w:r>
              <w:rPr>
                <w:rStyle w:val="FootnoteReference"/>
                <w:rFonts w:ascii="Cambria" w:hAnsi="Cambria"/>
                <w:sz w:val="18"/>
                <w:szCs w:val="18"/>
                <w:lang w:val="es-AR"/>
              </w:rPr>
              <w:footnoteReference w:id="36"/>
            </w:r>
          </w:p>
        </w:tc>
      </w:tr>
      <w:tr w:rsidR="00E676EC" w:rsidRPr="00345DBD" w14:paraId="2B6113B4" w14:textId="77777777" w:rsidTr="00DA29EC">
        <w:trPr>
          <w:trHeight w:val="287"/>
        </w:trPr>
        <w:tc>
          <w:tcPr>
            <w:tcW w:w="1165" w:type="dxa"/>
          </w:tcPr>
          <w:p w14:paraId="67E266D2" w14:textId="77777777" w:rsidR="00345DBD" w:rsidRPr="00E676EC"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Ramírez c. Vallenar</w:t>
            </w:r>
          </w:p>
        </w:tc>
        <w:tc>
          <w:tcPr>
            <w:tcW w:w="796" w:type="dxa"/>
          </w:tcPr>
          <w:p w14:paraId="738F70E9" w14:textId="77777777" w:rsidR="00345DBD" w:rsidRPr="00345DBD"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4.443-1993</w:t>
            </w:r>
          </w:p>
        </w:tc>
        <w:tc>
          <w:tcPr>
            <w:tcW w:w="734" w:type="dxa"/>
          </w:tcPr>
          <w:p w14:paraId="60EB86B1" w14:textId="77777777" w:rsidR="00345DBD" w:rsidRPr="009E4510" w:rsidRDefault="00670AE3" w:rsidP="00CB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sidRPr="009E4510">
              <w:rPr>
                <w:rFonts w:ascii="Cambria" w:hAnsi="Cambria"/>
                <w:sz w:val="18"/>
                <w:szCs w:val="18"/>
                <w:lang w:val="es-AR"/>
              </w:rPr>
              <w:t>19</w:t>
            </w:r>
            <w:r w:rsidR="00CB3F76" w:rsidRPr="009E4510">
              <w:rPr>
                <w:rFonts w:ascii="Cambria" w:hAnsi="Cambria"/>
                <w:sz w:val="18"/>
                <w:szCs w:val="18"/>
                <w:lang w:val="es-AR"/>
              </w:rPr>
              <w:t>3</w:t>
            </w:r>
          </w:p>
        </w:tc>
        <w:tc>
          <w:tcPr>
            <w:tcW w:w="1260" w:type="dxa"/>
          </w:tcPr>
          <w:p w14:paraId="469B0B71"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29/10/1993</w:t>
            </w:r>
          </w:p>
        </w:tc>
        <w:tc>
          <w:tcPr>
            <w:tcW w:w="1260" w:type="dxa"/>
          </w:tcPr>
          <w:p w14:paraId="4512D168"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04/12/1996</w:t>
            </w:r>
          </w:p>
        </w:tc>
        <w:tc>
          <w:tcPr>
            <w:tcW w:w="1260" w:type="dxa"/>
          </w:tcPr>
          <w:p w14:paraId="7DF85712"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30/01/1997</w:t>
            </w:r>
          </w:p>
        </w:tc>
        <w:tc>
          <w:tcPr>
            <w:tcW w:w="1260" w:type="dxa"/>
          </w:tcPr>
          <w:p w14:paraId="3B315B01" w14:textId="77777777" w:rsidR="00345DBD" w:rsidRPr="00345DBD" w:rsidRDefault="009E4510"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28/11/2008</w:t>
            </w:r>
          </w:p>
        </w:tc>
        <w:tc>
          <w:tcPr>
            <w:tcW w:w="1620" w:type="dxa"/>
          </w:tcPr>
          <w:p w14:paraId="6F7D0CCD" w14:textId="77777777" w:rsidR="00345DBD" w:rsidRPr="00345DBD" w:rsidRDefault="009E4510"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3.367.170.587</w:t>
            </w:r>
          </w:p>
        </w:tc>
      </w:tr>
      <w:tr w:rsidR="00E676EC" w:rsidRPr="00345DBD" w14:paraId="4CD7DEC4" w14:textId="77777777" w:rsidTr="00E676EC">
        <w:tc>
          <w:tcPr>
            <w:tcW w:w="1165" w:type="dxa"/>
          </w:tcPr>
          <w:p w14:paraId="463DA45A" w14:textId="77777777" w:rsidR="00345DBD" w:rsidRPr="00E676EC"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Agurto c. Cauquenes</w:t>
            </w:r>
          </w:p>
        </w:tc>
        <w:tc>
          <w:tcPr>
            <w:tcW w:w="796" w:type="dxa"/>
          </w:tcPr>
          <w:p w14:paraId="45D6E0DE" w14:textId="77777777" w:rsidR="00345DBD" w:rsidRPr="00345DBD"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63-1993</w:t>
            </w:r>
          </w:p>
        </w:tc>
        <w:tc>
          <w:tcPr>
            <w:tcW w:w="734" w:type="dxa"/>
          </w:tcPr>
          <w:p w14:paraId="5F7D8C1F" w14:textId="77777777" w:rsidR="00345DBD" w:rsidRPr="009E4510" w:rsidRDefault="00CB3F76"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sidRPr="009E4510">
              <w:rPr>
                <w:rFonts w:ascii="Cambria" w:hAnsi="Cambria"/>
                <w:sz w:val="18"/>
                <w:szCs w:val="18"/>
                <w:lang w:val="es-AR"/>
              </w:rPr>
              <w:t>1</w:t>
            </w:r>
          </w:p>
        </w:tc>
        <w:tc>
          <w:tcPr>
            <w:tcW w:w="1260" w:type="dxa"/>
          </w:tcPr>
          <w:p w14:paraId="6E757B8B"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22/03/1993</w:t>
            </w:r>
          </w:p>
        </w:tc>
        <w:tc>
          <w:tcPr>
            <w:tcW w:w="1260" w:type="dxa"/>
          </w:tcPr>
          <w:p w14:paraId="2C116E1F"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28/05/1993</w:t>
            </w:r>
          </w:p>
        </w:tc>
        <w:tc>
          <w:tcPr>
            <w:tcW w:w="1260" w:type="dxa"/>
          </w:tcPr>
          <w:p w14:paraId="33BA6105"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30/08/1993</w:t>
            </w:r>
          </w:p>
        </w:tc>
        <w:tc>
          <w:tcPr>
            <w:tcW w:w="1260" w:type="dxa"/>
          </w:tcPr>
          <w:p w14:paraId="1028DAC8"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16/10/1994</w:t>
            </w:r>
          </w:p>
        </w:tc>
        <w:tc>
          <w:tcPr>
            <w:tcW w:w="1620" w:type="dxa"/>
          </w:tcPr>
          <w:p w14:paraId="0A5DD598" w14:textId="77777777" w:rsidR="00345DBD" w:rsidRPr="00345DBD" w:rsidRDefault="00A72F5D"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6.043.866</w:t>
            </w:r>
          </w:p>
        </w:tc>
      </w:tr>
      <w:tr w:rsidR="00E676EC" w:rsidRPr="00345DBD" w14:paraId="74500A14" w14:textId="77777777" w:rsidTr="00E676EC">
        <w:tc>
          <w:tcPr>
            <w:tcW w:w="1165" w:type="dxa"/>
          </w:tcPr>
          <w:p w14:paraId="1089E809" w14:textId="77777777" w:rsidR="00345DBD" w:rsidRPr="00E676EC"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Barra c. Cauquenes</w:t>
            </w:r>
          </w:p>
        </w:tc>
        <w:tc>
          <w:tcPr>
            <w:tcW w:w="796" w:type="dxa"/>
          </w:tcPr>
          <w:p w14:paraId="15976B27" w14:textId="77777777" w:rsidR="00345DBD" w:rsidRPr="00345DBD"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123-1993</w:t>
            </w:r>
          </w:p>
        </w:tc>
        <w:tc>
          <w:tcPr>
            <w:tcW w:w="734" w:type="dxa"/>
          </w:tcPr>
          <w:p w14:paraId="6CF66E63" w14:textId="77777777" w:rsidR="00345DBD" w:rsidRPr="00345DBD" w:rsidRDefault="00670AE3"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Pr>
                <w:rFonts w:ascii="Cambria" w:hAnsi="Cambria"/>
                <w:sz w:val="18"/>
                <w:szCs w:val="18"/>
                <w:lang w:val="es-AR"/>
              </w:rPr>
              <w:t>36</w:t>
            </w:r>
          </w:p>
        </w:tc>
        <w:tc>
          <w:tcPr>
            <w:tcW w:w="1260" w:type="dxa"/>
          </w:tcPr>
          <w:p w14:paraId="44F5C726"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09/09/1993</w:t>
            </w:r>
          </w:p>
        </w:tc>
        <w:tc>
          <w:tcPr>
            <w:tcW w:w="1260" w:type="dxa"/>
          </w:tcPr>
          <w:p w14:paraId="23E5C7F6"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18/01/1995</w:t>
            </w:r>
          </w:p>
        </w:tc>
        <w:tc>
          <w:tcPr>
            <w:tcW w:w="1260" w:type="dxa"/>
          </w:tcPr>
          <w:p w14:paraId="4134E2F6"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p>
        </w:tc>
        <w:tc>
          <w:tcPr>
            <w:tcW w:w="1260" w:type="dxa"/>
          </w:tcPr>
          <w:p w14:paraId="24F3D2DB" w14:textId="77777777" w:rsidR="00345DBD" w:rsidRPr="00345DBD" w:rsidRDefault="00A72F5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22/12/1995</w:t>
            </w:r>
          </w:p>
        </w:tc>
        <w:tc>
          <w:tcPr>
            <w:tcW w:w="1620" w:type="dxa"/>
          </w:tcPr>
          <w:p w14:paraId="38ECED15" w14:textId="77777777" w:rsidR="00345DBD" w:rsidRPr="00345DBD" w:rsidRDefault="00A72F5D"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450.882.339</w:t>
            </w:r>
          </w:p>
        </w:tc>
      </w:tr>
      <w:tr w:rsidR="00E676EC" w:rsidRPr="00345DBD" w14:paraId="50CB74DC" w14:textId="77777777" w:rsidTr="00B0102E">
        <w:tc>
          <w:tcPr>
            <w:tcW w:w="1165" w:type="dxa"/>
          </w:tcPr>
          <w:p w14:paraId="3D9F9E19" w14:textId="77777777" w:rsidR="00345DBD" w:rsidRPr="00E676EC"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i/>
                <w:sz w:val="18"/>
                <w:szCs w:val="18"/>
                <w:lang w:val="es-AR"/>
              </w:rPr>
            </w:pPr>
            <w:r w:rsidRPr="00E676EC">
              <w:rPr>
                <w:rFonts w:ascii="Cambria" w:hAnsi="Cambria"/>
                <w:i/>
                <w:sz w:val="18"/>
                <w:szCs w:val="18"/>
                <w:lang w:val="es-AR"/>
              </w:rPr>
              <w:t>Aguilera c. Cauquenes</w:t>
            </w:r>
          </w:p>
        </w:tc>
        <w:tc>
          <w:tcPr>
            <w:tcW w:w="796" w:type="dxa"/>
          </w:tcPr>
          <w:p w14:paraId="2F80F03D" w14:textId="77777777" w:rsidR="00345DBD" w:rsidRPr="00345DBD" w:rsidRDefault="00670AE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38-1993</w:t>
            </w:r>
          </w:p>
        </w:tc>
        <w:tc>
          <w:tcPr>
            <w:tcW w:w="734" w:type="dxa"/>
          </w:tcPr>
          <w:p w14:paraId="008D0EC2" w14:textId="77777777" w:rsidR="00345DBD" w:rsidRPr="00345DBD" w:rsidRDefault="00DA29EC" w:rsidP="00615D9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Pr>
                <w:rFonts w:ascii="Cambria" w:hAnsi="Cambria"/>
                <w:sz w:val="18"/>
                <w:szCs w:val="18"/>
                <w:lang w:val="es-AR"/>
              </w:rPr>
              <w:t>336</w:t>
            </w:r>
          </w:p>
        </w:tc>
        <w:tc>
          <w:tcPr>
            <w:tcW w:w="1260" w:type="dxa"/>
          </w:tcPr>
          <w:p w14:paraId="3E7BDD9A" w14:textId="77777777" w:rsidR="00345DBD" w:rsidRPr="00345DBD" w:rsidRDefault="00601DB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04/02/1993</w:t>
            </w:r>
          </w:p>
        </w:tc>
        <w:tc>
          <w:tcPr>
            <w:tcW w:w="1260" w:type="dxa"/>
          </w:tcPr>
          <w:p w14:paraId="30F12E78" w14:textId="77777777" w:rsidR="00345DBD" w:rsidRPr="00345DBD" w:rsidRDefault="00601DB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13/09/1993</w:t>
            </w:r>
          </w:p>
        </w:tc>
        <w:tc>
          <w:tcPr>
            <w:tcW w:w="1260" w:type="dxa"/>
          </w:tcPr>
          <w:p w14:paraId="2F908883" w14:textId="77777777" w:rsidR="00345DBD" w:rsidRPr="00345DBD" w:rsidRDefault="00601DB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12/01/1994</w:t>
            </w:r>
          </w:p>
        </w:tc>
        <w:tc>
          <w:tcPr>
            <w:tcW w:w="1260" w:type="dxa"/>
          </w:tcPr>
          <w:p w14:paraId="56D1D80A" w14:textId="77777777" w:rsidR="00345DBD" w:rsidRPr="00345DBD" w:rsidRDefault="00601DB3"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r>
              <w:rPr>
                <w:rFonts w:ascii="Cambria" w:hAnsi="Cambria"/>
                <w:sz w:val="18"/>
                <w:szCs w:val="18"/>
                <w:lang w:val="es-AR"/>
              </w:rPr>
              <w:t>22/12/1995</w:t>
            </w:r>
          </w:p>
        </w:tc>
        <w:tc>
          <w:tcPr>
            <w:tcW w:w="1620" w:type="dxa"/>
            <w:shd w:val="clear" w:color="auto" w:fill="auto"/>
          </w:tcPr>
          <w:p w14:paraId="4B59D84A" w14:textId="77777777" w:rsidR="00345DBD" w:rsidRPr="00345DBD" w:rsidRDefault="00601DB3" w:rsidP="00CB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sidRPr="00B0102E">
              <w:rPr>
                <w:rFonts w:ascii="Cambria" w:hAnsi="Cambria"/>
                <w:sz w:val="18"/>
                <w:szCs w:val="18"/>
                <w:lang w:val="es-AR"/>
              </w:rPr>
              <w:t>2.</w:t>
            </w:r>
            <w:r w:rsidR="00CB3F76" w:rsidRPr="00B0102E">
              <w:rPr>
                <w:rFonts w:ascii="Cambria" w:hAnsi="Cambria"/>
                <w:sz w:val="18"/>
                <w:szCs w:val="18"/>
                <w:lang w:val="es-AR"/>
              </w:rPr>
              <w:t>357</w:t>
            </w:r>
            <w:r w:rsidRPr="00B0102E">
              <w:rPr>
                <w:rFonts w:ascii="Cambria" w:hAnsi="Cambria"/>
                <w:sz w:val="18"/>
                <w:szCs w:val="18"/>
                <w:lang w:val="es-AR"/>
              </w:rPr>
              <w:t>.</w:t>
            </w:r>
            <w:r w:rsidR="00CB3F76" w:rsidRPr="00B0102E">
              <w:rPr>
                <w:rFonts w:ascii="Cambria" w:hAnsi="Cambria"/>
                <w:sz w:val="18"/>
                <w:szCs w:val="18"/>
                <w:lang w:val="es-AR"/>
              </w:rPr>
              <w:t>324</w:t>
            </w:r>
            <w:r w:rsidRPr="00B0102E">
              <w:rPr>
                <w:rFonts w:ascii="Cambria" w:hAnsi="Cambria"/>
                <w:sz w:val="18"/>
                <w:szCs w:val="18"/>
                <w:lang w:val="es-AR"/>
              </w:rPr>
              <w:t>.</w:t>
            </w:r>
            <w:r w:rsidR="00CB3F76" w:rsidRPr="00B0102E">
              <w:rPr>
                <w:rFonts w:ascii="Cambria" w:hAnsi="Cambria"/>
                <w:sz w:val="18"/>
                <w:szCs w:val="18"/>
                <w:lang w:val="es-AR"/>
              </w:rPr>
              <w:t>804</w:t>
            </w:r>
          </w:p>
        </w:tc>
      </w:tr>
      <w:tr w:rsidR="00E676EC" w:rsidRPr="00345DBD" w14:paraId="6F40528A" w14:textId="77777777" w:rsidTr="00E676EC">
        <w:tc>
          <w:tcPr>
            <w:tcW w:w="1165" w:type="dxa"/>
          </w:tcPr>
          <w:p w14:paraId="284EFDEE"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p>
        </w:tc>
        <w:tc>
          <w:tcPr>
            <w:tcW w:w="796" w:type="dxa"/>
          </w:tcPr>
          <w:p w14:paraId="79705D69"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p>
        </w:tc>
        <w:tc>
          <w:tcPr>
            <w:tcW w:w="734" w:type="dxa"/>
          </w:tcPr>
          <w:p w14:paraId="66BC900F" w14:textId="77777777" w:rsidR="00345DBD" w:rsidRPr="00345DBD" w:rsidRDefault="00CB3F76" w:rsidP="008718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center"/>
              <w:rPr>
                <w:rFonts w:ascii="Cambria" w:hAnsi="Cambria"/>
                <w:sz w:val="18"/>
                <w:szCs w:val="18"/>
                <w:lang w:val="es-AR"/>
              </w:rPr>
            </w:pPr>
            <w:r>
              <w:rPr>
                <w:rFonts w:ascii="Cambria" w:hAnsi="Cambria"/>
                <w:sz w:val="18"/>
                <w:szCs w:val="18"/>
                <w:lang w:val="es-AR"/>
              </w:rPr>
              <w:t>848</w:t>
            </w:r>
          </w:p>
        </w:tc>
        <w:tc>
          <w:tcPr>
            <w:tcW w:w="1260" w:type="dxa"/>
          </w:tcPr>
          <w:p w14:paraId="6AEF86A8"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p>
        </w:tc>
        <w:tc>
          <w:tcPr>
            <w:tcW w:w="1260" w:type="dxa"/>
          </w:tcPr>
          <w:p w14:paraId="020DDADD"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p>
        </w:tc>
        <w:tc>
          <w:tcPr>
            <w:tcW w:w="1260" w:type="dxa"/>
          </w:tcPr>
          <w:p w14:paraId="6891FF43"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p>
        </w:tc>
        <w:tc>
          <w:tcPr>
            <w:tcW w:w="1260" w:type="dxa"/>
          </w:tcPr>
          <w:p w14:paraId="43FAA946" w14:textId="77777777" w:rsidR="00345DBD" w:rsidRPr="00345DBD" w:rsidRDefault="00345DBD" w:rsidP="00A941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18"/>
                <w:szCs w:val="18"/>
                <w:lang w:val="es-AR"/>
              </w:rPr>
            </w:pPr>
          </w:p>
        </w:tc>
        <w:tc>
          <w:tcPr>
            <w:tcW w:w="1620" w:type="dxa"/>
          </w:tcPr>
          <w:p w14:paraId="023CBD8C" w14:textId="77777777" w:rsidR="00345DBD" w:rsidRPr="00345DBD" w:rsidRDefault="009E4510" w:rsidP="008718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right"/>
              <w:rPr>
                <w:rFonts w:ascii="Cambria" w:hAnsi="Cambria"/>
                <w:sz w:val="18"/>
                <w:szCs w:val="18"/>
                <w:lang w:val="es-AR"/>
              </w:rPr>
            </w:pPr>
            <w:r>
              <w:rPr>
                <w:rFonts w:ascii="Cambria" w:hAnsi="Cambria"/>
                <w:sz w:val="18"/>
                <w:szCs w:val="18"/>
                <w:lang w:val="es-AR"/>
              </w:rPr>
              <w:t>18.870.211.130</w:t>
            </w:r>
          </w:p>
        </w:tc>
      </w:tr>
    </w:tbl>
    <w:p w14:paraId="11AB5832" w14:textId="77777777" w:rsidR="00F5327F" w:rsidRDefault="00F5327F" w:rsidP="00F5327F">
      <w:pPr>
        <w:rPr>
          <w:lang w:val="es-ES_tradnl"/>
        </w:rPr>
      </w:pPr>
      <w:bookmarkStart w:id="15" w:name="_Toc532549547"/>
    </w:p>
    <w:p w14:paraId="75633B78" w14:textId="77777777" w:rsidR="00F5327F" w:rsidRPr="00F5327F" w:rsidRDefault="00F5327F" w:rsidP="00F5327F">
      <w:pPr>
        <w:rPr>
          <w:lang w:val="es-ES_tradnl"/>
        </w:rPr>
      </w:pPr>
    </w:p>
    <w:p w14:paraId="7AED6B78" w14:textId="77777777" w:rsidR="00E676EC" w:rsidRPr="00E359DA" w:rsidRDefault="00E676EC" w:rsidP="00F5327F">
      <w:pPr>
        <w:pStyle w:val="Heading3"/>
        <w:ind w:hanging="720"/>
        <w:rPr>
          <w:lang w:val="es-ES_tradnl"/>
        </w:rPr>
      </w:pPr>
      <w:bookmarkStart w:id="16" w:name="_Toc5020340"/>
      <w:r>
        <w:rPr>
          <w:lang w:val="es-ES_tradnl"/>
        </w:rPr>
        <w:t>Proceso respecto de Chañaral</w:t>
      </w:r>
      <w:bookmarkEnd w:id="15"/>
      <w:bookmarkEnd w:id="16"/>
    </w:p>
    <w:p w14:paraId="0140C49F" w14:textId="77777777" w:rsidR="00E676EC" w:rsidRDefault="00E676EC" w:rsidP="00E676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AR"/>
        </w:rPr>
      </w:pPr>
    </w:p>
    <w:p w14:paraId="2CC3BC23" w14:textId="77777777" w:rsidR="004E01C7" w:rsidRDefault="00D8568C"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548DD4" w:themeColor="text2" w:themeTint="99"/>
          <w:sz w:val="20"/>
          <w:szCs w:val="20"/>
        </w:rPr>
      </w:pPr>
      <w:r>
        <w:rPr>
          <w:rFonts w:ascii="Cambria" w:hAnsi="Cambria"/>
          <w:color w:val="auto"/>
          <w:sz w:val="20"/>
          <w:szCs w:val="20"/>
          <w:lang w:val="es-MX"/>
        </w:rPr>
        <w:t xml:space="preserve">A modo de ilustración de la información contenida en Tabla 1, la CIDH aquí resume los hechos del proceso seguido por las y los profesores de Chañaral. </w:t>
      </w:r>
      <w:r w:rsidR="00E676EC" w:rsidRPr="0032043D">
        <w:rPr>
          <w:rFonts w:ascii="Cambria" w:hAnsi="Cambria"/>
          <w:color w:val="auto"/>
          <w:sz w:val="20"/>
          <w:szCs w:val="20"/>
          <w:lang w:val="es-MX"/>
        </w:rPr>
        <w:t xml:space="preserve">El 28 de marzo de 1994, los 80 profesores de Chañaral interpusieron una demanda ante el Primer Juzgado de Letras del Trabajo y, el 20 de julio de 1994, mediante sentencia definitiva se ordenó que se les pagaran los montos adeudados, debiendo determinarse el monto en forma incidental en la ejecución del </w:t>
      </w:r>
      <w:r w:rsidR="00E676EC" w:rsidRPr="00EE13BB">
        <w:rPr>
          <w:rFonts w:ascii="Cambria" w:hAnsi="Cambria"/>
          <w:color w:val="auto"/>
          <w:sz w:val="20"/>
          <w:szCs w:val="20"/>
          <w:lang w:val="es-MX"/>
        </w:rPr>
        <w:t>fallo</w:t>
      </w:r>
      <w:r w:rsidR="0032043D" w:rsidRPr="00EE13BB">
        <w:rPr>
          <w:rStyle w:val="FootnoteReference"/>
          <w:rFonts w:ascii="Cambria" w:hAnsi="Cambria"/>
          <w:color w:val="auto"/>
          <w:sz w:val="20"/>
          <w:szCs w:val="20"/>
          <w:lang w:val="es-MX"/>
        </w:rPr>
        <w:footnoteReference w:id="37"/>
      </w:r>
      <w:r w:rsidR="00E676EC" w:rsidRPr="00EE13BB">
        <w:rPr>
          <w:rFonts w:ascii="Cambria" w:hAnsi="Cambria"/>
          <w:color w:val="auto"/>
          <w:sz w:val="20"/>
          <w:szCs w:val="20"/>
          <w:lang w:val="es-MX"/>
        </w:rPr>
        <w:t xml:space="preserve">. </w:t>
      </w:r>
      <w:r w:rsidR="00387162" w:rsidRPr="00EE13BB">
        <w:rPr>
          <w:rFonts w:ascii="Cambria" w:hAnsi="Cambria"/>
          <w:color w:val="auto"/>
          <w:sz w:val="20"/>
          <w:szCs w:val="20"/>
          <w:lang w:val="es-MX"/>
        </w:rPr>
        <w:t>Se solicitó</w:t>
      </w:r>
      <w:r w:rsidR="00E676EC" w:rsidRPr="00EE13BB">
        <w:rPr>
          <w:rFonts w:ascii="Cambria" w:hAnsi="Cambria"/>
          <w:color w:val="auto"/>
          <w:sz w:val="20"/>
          <w:szCs w:val="20"/>
          <w:lang w:val="es-MX"/>
        </w:rPr>
        <w:t xml:space="preserve"> el cumplimiento incidental de la sentencia, se designaron peritos y, en agosto de 1999, </w:t>
      </w:r>
      <w:r w:rsidR="00387162" w:rsidRPr="00EE13BB">
        <w:rPr>
          <w:rFonts w:ascii="Cambria" w:hAnsi="Cambria"/>
          <w:color w:val="auto"/>
          <w:sz w:val="20"/>
          <w:szCs w:val="20"/>
          <w:lang w:val="es-MX"/>
        </w:rPr>
        <w:t>la Municipalidad</w:t>
      </w:r>
      <w:r w:rsidR="00E676EC" w:rsidRPr="00EE13BB">
        <w:rPr>
          <w:rFonts w:ascii="Cambria" w:hAnsi="Cambria"/>
          <w:color w:val="auto"/>
          <w:sz w:val="20"/>
          <w:szCs w:val="20"/>
          <w:lang w:val="es-MX"/>
        </w:rPr>
        <w:t xml:space="preserve"> de Chañaral y las víctim</w:t>
      </w:r>
      <w:r w:rsidR="00387162" w:rsidRPr="00EE13BB">
        <w:rPr>
          <w:rFonts w:ascii="Cambria" w:hAnsi="Cambria"/>
          <w:color w:val="auto"/>
          <w:sz w:val="20"/>
          <w:szCs w:val="20"/>
          <w:lang w:val="es-MX"/>
        </w:rPr>
        <w:t xml:space="preserve">as firmaron un convenio de pago; sin embargo, la municipalidad incumplió el convenio, por lo que </w:t>
      </w:r>
      <w:r w:rsidR="00E676EC" w:rsidRPr="00EE13BB">
        <w:rPr>
          <w:rFonts w:ascii="Cambria" w:hAnsi="Cambria"/>
          <w:color w:val="auto"/>
          <w:sz w:val="20"/>
          <w:szCs w:val="20"/>
          <w:lang w:val="es-MX"/>
        </w:rPr>
        <w:t>los profesores de Chañaral solicitaron al tribunal que se dejara sin efecto, a lo cual se accedió mediante resolución del 19 de octubre de 2003</w:t>
      </w:r>
      <w:r w:rsidR="0032043D" w:rsidRPr="00EE13BB">
        <w:rPr>
          <w:rStyle w:val="FootnoteReference"/>
          <w:rFonts w:ascii="Cambria" w:hAnsi="Cambria"/>
          <w:color w:val="auto"/>
          <w:sz w:val="20"/>
          <w:szCs w:val="20"/>
          <w:lang w:val="es-MX"/>
        </w:rPr>
        <w:footnoteReference w:id="38"/>
      </w:r>
      <w:r w:rsidR="00E676EC" w:rsidRPr="00EE13BB">
        <w:rPr>
          <w:rFonts w:ascii="Cambria" w:hAnsi="Cambria"/>
          <w:color w:val="auto"/>
          <w:sz w:val="20"/>
          <w:szCs w:val="20"/>
          <w:lang w:val="es-MX"/>
        </w:rPr>
        <w:t xml:space="preserve">. </w:t>
      </w:r>
    </w:p>
    <w:p w14:paraId="6C156347" w14:textId="77777777" w:rsidR="004E01C7" w:rsidRDefault="004E01C7" w:rsidP="004E01C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548DD4" w:themeColor="text2" w:themeTint="99"/>
          <w:sz w:val="20"/>
          <w:szCs w:val="20"/>
        </w:rPr>
      </w:pPr>
    </w:p>
    <w:p w14:paraId="0B8E9AF6" w14:textId="77777777" w:rsidR="004E01C7" w:rsidRDefault="009C56BF"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548DD4" w:themeColor="text2" w:themeTint="99"/>
          <w:sz w:val="20"/>
          <w:szCs w:val="20"/>
        </w:rPr>
      </w:pPr>
      <w:r w:rsidRPr="004E01C7">
        <w:rPr>
          <w:rFonts w:ascii="Cambria" w:hAnsi="Cambria"/>
          <w:color w:val="auto"/>
          <w:sz w:val="20"/>
          <w:szCs w:val="20"/>
          <w:lang w:val="es-MX"/>
        </w:rPr>
        <w:t xml:space="preserve">El </w:t>
      </w:r>
      <w:r w:rsidR="00E676EC" w:rsidRPr="004E01C7">
        <w:rPr>
          <w:rFonts w:ascii="Cambria" w:hAnsi="Cambria"/>
          <w:color w:val="auto"/>
          <w:sz w:val="20"/>
          <w:szCs w:val="20"/>
          <w:lang w:val="es-MX"/>
        </w:rPr>
        <w:t>18 de mayo de 2005, se ordenó que el municipio, a través de su alcalde, emitiera un decreto alcaldicio de pago de la liq</w:t>
      </w:r>
      <w:r w:rsidRPr="004E01C7">
        <w:rPr>
          <w:rFonts w:ascii="Cambria" w:hAnsi="Cambria"/>
          <w:color w:val="auto"/>
          <w:sz w:val="20"/>
          <w:szCs w:val="20"/>
          <w:lang w:val="es-MX"/>
        </w:rPr>
        <w:t>uidación de las sumas ordenadas, la cual no se cumplió</w:t>
      </w:r>
      <w:r w:rsidRPr="007377E9">
        <w:rPr>
          <w:rStyle w:val="FootnoteReference"/>
          <w:rFonts w:ascii="Cambria" w:hAnsi="Cambria"/>
          <w:color w:val="auto"/>
          <w:sz w:val="20"/>
          <w:szCs w:val="20"/>
          <w:lang w:val="es-MX"/>
        </w:rPr>
        <w:footnoteReference w:id="39"/>
      </w:r>
      <w:r w:rsidRPr="004E01C7">
        <w:rPr>
          <w:rFonts w:ascii="Cambria" w:hAnsi="Cambria"/>
          <w:color w:val="auto"/>
          <w:sz w:val="20"/>
          <w:szCs w:val="20"/>
          <w:lang w:val="es-MX"/>
        </w:rPr>
        <w:t>. El 8</w:t>
      </w:r>
      <w:r w:rsidR="007377E9" w:rsidRPr="004E01C7">
        <w:rPr>
          <w:rFonts w:ascii="Cambria" w:hAnsi="Cambria"/>
          <w:color w:val="auto"/>
          <w:sz w:val="20"/>
          <w:szCs w:val="20"/>
          <w:lang w:val="es-MX"/>
        </w:rPr>
        <w:t xml:space="preserve"> y 16</w:t>
      </w:r>
      <w:r w:rsidR="00E676EC" w:rsidRPr="004E01C7">
        <w:rPr>
          <w:rFonts w:ascii="Cambria" w:hAnsi="Cambria"/>
          <w:color w:val="auto"/>
          <w:sz w:val="20"/>
          <w:szCs w:val="20"/>
          <w:lang w:val="es-MX"/>
        </w:rPr>
        <w:t xml:space="preserve"> de junio de 2005, la Municipalidad de Chañaral </w:t>
      </w:r>
      <w:r w:rsidRPr="004E01C7">
        <w:rPr>
          <w:rFonts w:ascii="Cambria" w:hAnsi="Cambria"/>
          <w:color w:val="auto"/>
          <w:sz w:val="20"/>
          <w:szCs w:val="20"/>
          <w:lang w:val="es-MX"/>
        </w:rPr>
        <w:t>expresó</w:t>
      </w:r>
      <w:r w:rsidR="00E676EC" w:rsidRPr="004E01C7">
        <w:rPr>
          <w:rFonts w:ascii="Cambria" w:hAnsi="Cambria"/>
          <w:color w:val="auto"/>
          <w:sz w:val="20"/>
          <w:szCs w:val="20"/>
          <w:lang w:val="es-MX"/>
        </w:rPr>
        <w:t xml:space="preserve"> al Tribunal </w:t>
      </w:r>
      <w:r w:rsidRPr="004E01C7">
        <w:rPr>
          <w:rFonts w:ascii="Cambria" w:hAnsi="Cambria"/>
          <w:color w:val="auto"/>
          <w:sz w:val="20"/>
          <w:szCs w:val="20"/>
          <w:lang w:val="es-MX"/>
        </w:rPr>
        <w:t>la imposibilidad</w:t>
      </w:r>
      <w:r w:rsidR="007377E9" w:rsidRPr="004E01C7">
        <w:rPr>
          <w:rFonts w:ascii="Cambria" w:hAnsi="Cambria"/>
          <w:color w:val="auto"/>
          <w:sz w:val="20"/>
          <w:szCs w:val="20"/>
          <w:lang w:val="es-MX"/>
        </w:rPr>
        <w:t xml:space="preserve"> jurídica</w:t>
      </w:r>
      <w:r w:rsidRPr="004E01C7">
        <w:rPr>
          <w:rFonts w:ascii="Cambria" w:hAnsi="Cambria"/>
          <w:color w:val="auto"/>
          <w:sz w:val="20"/>
          <w:szCs w:val="20"/>
          <w:lang w:val="es-MX"/>
        </w:rPr>
        <w:t xml:space="preserve"> de cumplir con la orden por falta de presupuesto</w:t>
      </w:r>
      <w:r w:rsidRPr="007377E9">
        <w:rPr>
          <w:rStyle w:val="FootnoteReference"/>
          <w:rFonts w:ascii="Cambria" w:hAnsi="Cambria"/>
          <w:color w:val="auto"/>
          <w:sz w:val="20"/>
          <w:szCs w:val="20"/>
          <w:lang w:val="es-MX"/>
        </w:rPr>
        <w:footnoteReference w:id="40"/>
      </w:r>
      <w:r w:rsidRPr="004E01C7">
        <w:rPr>
          <w:rFonts w:ascii="Cambria" w:hAnsi="Cambria"/>
          <w:color w:val="auto"/>
          <w:sz w:val="20"/>
          <w:szCs w:val="20"/>
          <w:lang w:val="es-MX"/>
        </w:rPr>
        <w:t xml:space="preserve">. </w:t>
      </w:r>
      <w:r w:rsidR="00E676EC" w:rsidRPr="004E01C7">
        <w:rPr>
          <w:rFonts w:ascii="Cambria" w:hAnsi="Cambria"/>
          <w:color w:val="auto"/>
          <w:sz w:val="20"/>
          <w:szCs w:val="20"/>
          <w:lang w:val="es-MX"/>
        </w:rPr>
        <w:t>Mediante resolución de fecha 20 de junio de 2005, el tribunal tuvo “presente” la solicitud presentada</w:t>
      </w:r>
      <w:r w:rsidR="007377E9" w:rsidRPr="007377E9">
        <w:rPr>
          <w:rStyle w:val="FootnoteReference"/>
          <w:rFonts w:ascii="Cambria" w:hAnsi="Cambria"/>
          <w:color w:val="auto"/>
          <w:sz w:val="20"/>
          <w:szCs w:val="20"/>
          <w:lang w:val="es-MX"/>
        </w:rPr>
        <w:footnoteReference w:id="41"/>
      </w:r>
      <w:r w:rsidR="00E676EC" w:rsidRPr="004E01C7">
        <w:rPr>
          <w:rFonts w:ascii="Cambria" w:hAnsi="Cambria"/>
          <w:color w:val="auto"/>
          <w:sz w:val="20"/>
          <w:szCs w:val="20"/>
          <w:lang w:val="es-MX"/>
        </w:rPr>
        <w:t xml:space="preserve">, </w:t>
      </w:r>
      <w:r w:rsidR="007377E9" w:rsidRPr="004E01C7">
        <w:rPr>
          <w:rFonts w:ascii="Cambria" w:hAnsi="Cambria"/>
          <w:color w:val="auto"/>
          <w:sz w:val="20"/>
          <w:szCs w:val="20"/>
          <w:lang w:val="es-MX"/>
        </w:rPr>
        <w:t>“</w:t>
      </w:r>
      <w:r w:rsidR="00E676EC" w:rsidRPr="004E01C7">
        <w:rPr>
          <w:rFonts w:ascii="Cambria" w:hAnsi="Cambria"/>
          <w:color w:val="auto"/>
          <w:sz w:val="20"/>
          <w:szCs w:val="20"/>
          <w:lang w:val="es-MX"/>
        </w:rPr>
        <w:t xml:space="preserve">no existiendo recurso alguno que permitiera apercibir a la </w:t>
      </w:r>
      <w:r w:rsidR="00CB7925" w:rsidRPr="004E01C7">
        <w:rPr>
          <w:rFonts w:ascii="Cambria" w:hAnsi="Cambria"/>
          <w:color w:val="auto"/>
          <w:sz w:val="20"/>
          <w:szCs w:val="20"/>
          <w:lang w:val="es-MX"/>
        </w:rPr>
        <w:t>M</w:t>
      </w:r>
      <w:r w:rsidR="00E676EC" w:rsidRPr="004E01C7">
        <w:rPr>
          <w:rFonts w:ascii="Cambria" w:hAnsi="Cambria"/>
          <w:color w:val="auto"/>
          <w:sz w:val="20"/>
          <w:szCs w:val="20"/>
          <w:lang w:val="es-MX"/>
        </w:rPr>
        <w:t>unicipalidad de Chañaral p</w:t>
      </w:r>
      <w:r w:rsidR="007377E9" w:rsidRPr="004E01C7">
        <w:rPr>
          <w:rFonts w:ascii="Cambria" w:hAnsi="Cambria"/>
          <w:color w:val="auto"/>
          <w:sz w:val="20"/>
          <w:szCs w:val="20"/>
          <w:lang w:val="es-MX"/>
        </w:rPr>
        <w:t xml:space="preserve">ara proceder a la dictación </w:t>
      </w:r>
      <w:r w:rsidR="00E676EC" w:rsidRPr="004E01C7">
        <w:rPr>
          <w:rFonts w:ascii="Cambria" w:hAnsi="Cambria"/>
          <w:color w:val="auto"/>
          <w:sz w:val="20"/>
          <w:szCs w:val="20"/>
          <w:lang w:val="es-MX"/>
        </w:rPr>
        <w:t>del decreto alcaldicio y</w:t>
      </w:r>
      <w:r w:rsidR="007377E9" w:rsidRPr="004E01C7">
        <w:rPr>
          <w:rFonts w:ascii="Cambria" w:hAnsi="Cambria"/>
          <w:color w:val="auto"/>
          <w:sz w:val="20"/>
          <w:szCs w:val="20"/>
          <w:lang w:val="es-MX"/>
        </w:rPr>
        <w:t xml:space="preserve"> el </w:t>
      </w:r>
      <w:r w:rsidR="00E676EC" w:rsidRPr="004E01C7">
        <w:rPr>
          <w:rFonts w:ascii="Cambria" w:hAnsi="Cambria"/>
          <w:color w:val="auto"/>
          <w:sz w:val="20"/>
          <w:szCs w:val="20"/>
          <w:lang w:val="es-MX"/>
        </w:rPr>
        <w:t>pago de las sumas adeudadas a los profesores de Chañaral</w:t>
      </w:r>
      <w:r w:rsidR="007377E9" w:rsidRPr="004E01C7">
        <w:rPr>
          <w:rFonts w:ascii="Cambria" w:hAnsi="Cambria"/>
          <w:color w:val="auto"/>
          <w:sz w:val="20"/>
          <w:szCs w:val="20"/>
          <w:lang w:val="es-MX"/>
        </w:rPr>
        <w:t>”</w:t>
      </w:r>
      <w:r w:rsidR="007377E9" w:rsidRPr="007377E9">
        <w:rPr>
          <w:rStyle w:val="FootnoteReference"/>
          <w:rFonts w:ascii="Cambria" w:hAnsi="Cambria"/>
          <w:color w:val="auto"/>
          <w:sz w:val="20"/>
          <w:szCs w:val="20"/>
          <w:lang w:val="es-MX"/>
        </w:rPr>
        <w:footnoteReference w:id="42"/>
      </w:r>
      <w:r w:rsidR="00E676EC" w:rsidRPr="004E01C7">
        <w:rPr>
          <w:rFonts w:ascii="Cambria" w:hAnsi="Cambria"/>
          <w:color w:val="auto"/>
          <w:sz w:val="20"/>
          <w:szCs w:val="20"/>
          <w:lang w:val="es-MX"/>
        </w:rPr>
        <w:t>.</w:t>
      </w:r>
    </w:p>
    <w:p w14:paraId="78DB8A7C" w14:textId="77777777" w:rsidR="004E01C7" w:rsidRDefault="004E01C7" w:rsidP="004E01C7">
      <w:pPr>
        <w:pStyle w:val="ListParagraph"/>
        <w:rPr>
          <w:color w:val="auto"/>
          <w:sz w:val="20"/>
          <w:szCs w:val="20"/>
          <w:lang w:val="es-MX"/>
        </w:rPr>
      </w:pPr>
    </w:p>
    <w:p w14:paraId="195C9CF4" w14:textId="77777777" w:rsidR="004E01C7" w:rsidRDefault="00CB7925"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548DD4" w:themeColor="text2" w:themeTint="99"/>
          <w:sz w:val="20"/>
          <w:szCs w:val="20"/>
        </w:rPr>
      </w:pPr>
      <w:r w:rsidRPr="004E01C7">
        <w:rPr>
          <w:rFonts w:ascii="Cambria" w:hAnsi="Cambria"/>
          <w:color w:val="auto"/>
          <w:sz w:val="20"/>
          <w:szCs w:val="20"/>
          <w:lang w:val="es-MX"/>
        </w:rPr>
        <w:t>Asimismo, a</w:t>
      </w:r>
      <w:r w:rsidR="00E676EC" w:rsidRPr="004E01C7">
        <w:rPr>
          <w:rFonts w:ascii="Cambria" w:hAnsi="Cambria"/>
          <w:color w:val="auto"/>
          <w:sz w:val="20"/>
          <w:szCs w:val="20"/>
          <w:lang w:val="es-MX"/>
        </w:rPr>
        <w:t>nte el incumplimiento por parte del Alcalde de Chañaral y a solicitud de los profesores, el Primer Juzgado de Letras del Trabajo de Chañaral apercibió al alcalde con un arresto de 5 días en el evento de incumplimiento de lo ordenado</w:t>
      </w:r>
      <w:r w:rsidR="007377E9" w:rsidRPr="007377E9">
        <w:rPr>
          <w:rStyle w:val="FootnoteReference"/>
          <w:rFonts w:ascii="Cambria" w:hAnsi="Cambria"/>
          <w:color w:val="auto"/>
          <w:sz w:val="20"/>
          <w:szCs w:val="20"/>
          <w:lang w:val="es-MX"/>
        </w:rPr>
        <w:footnoteReference w:id="43"/>
      </w:r>
      <w:r w:rsidR="00E676EC" w:rsidRPr="004E01C7">
        <w:rPr>
          <w:rFonts w:ascii="Cambria" w:hAnsi="Cambria"/>
          <w:color w:val="auto"/>
          <w:sz w:val="20"/>
          <w:szCs w:val="20"/>
          <w:lang w:val="es-MX"/>
        </w:rPr>
        <w:t>. Dicha medida de apremio fue objeto de recurso de amparo preventivo y, al acogerse la acción, se dejó sin efecto el apercibimiento</w:t>
      </w:r>
      <w:r w:rsidR="007377E9" w:rsidRPr="007377E9">
        <w:rPr>
          <w:rStyle w:val="FootnoteReference"/>
          <w:rFonts w:ascii="Cambria" w:hAnsi="Cambria"/>
          <w:color w:val="auto"/>
          <w:sz w:val="20"/>
          <w:szCs w:val="20"/>
          <w:lang w:val="es-MX"/>
        </w:rPr>
        <w:footnoteReference w:id="44"/>
      </w:r>
      <w:r w:rsidR="00E676EC" w:rsidRPr="004E01C7">
        <w:rPr>
          <w:rFonts w:ascii="Cambria" w:hAnsi="Cambria"/>
          <w:color w:val="auto"/>
          <w:sz w:val="20"/>
          <w:szCs w:val="20"/>
          <w:lang w:val="es-MX"/>
        </w:rPr>
        <w:t>.</w:t>
      </w:r>
    </w:p>
    <w:p w14:paraId="10FDF152" w14:textId="77777777" w:rsidR="004E01C7" w:rsidRDefault="004E01C7" w:rsidP="004E01C7">
      <w:pPr>
        <w:pStyle w:val="ListParagraph"/>
        <w:rPr>
          <w:color w:val="auto"/>
          <w:sz w:val="20"/>
          <w:szCs w:val="20"/>
          <w:lang w:val="es-US"/>
        </w:rPr>
      </w:pPr>
    </w:p>
    <w:p w14:paraId="791F7E7F" w14:textId="77777777" w:rsidR="00B0102E" w:rsidRPr="004E01C7" w:rsidRDefault="00B0102E"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548DD4" w:themeColor="text2" w:themeTint="99"/>
          <w:sz w:val="20"/>
          <w:szCs w:val="20"/>
        </w:rPr>
      </w:pPr>
      <w:r w:rsidRPr="004E01C7">
        <w:rPr>
          <w:rFonts w:ascii="Cambria" w:hAnsi="Cambria"/>
          <w:color w:val="auto"/>
          <w:sz w:val="20"/>
          <w:szCs w:val="20"/>
          <w:lang w:val="es-US"/>
        </w:rPr>
        <w:t xml:space="preserve">Por otro lado, la Municipalidad de Chañaral demandó al Fisco de Chile para obtener el dinero necesario para cumplir con el pago de las sumas decretadas por la sentencia en </w:t>
      </w:r>
      <w:r w:rsidRPr="004E01C7">
        <w:rPr>
          <w:rFonts w:ascii="Cambria" w:hAnsi="Cambria"/>
          <w:i/>
          <w:color w:val="auto"/>
          <w:sz w:val="20"/>
          <w:szCs w:val="20"/>
          <w:lang w:val="es-US"/>
        </w:rPr>
        <w:t>Benavides y otros</w:t>
      </w:r>
      <w:r w:rsidRPr="004E01C7">
        <w:rPr>
          <w:rFonts w:ascii="Cambria" w:hAnsi="Cambria"/>
          <w:color w:val="auto"/>
          <w:sz w:val="20"/>
          <w:szCs w:val="20"/>
          <w:lang w:val="es-US"/>
        </w:rPr>
        <w:t xml:space="preserve">. Dicha demanda fue rechazada en </w:t>
      </w:r>
      <w:r w:rsidR="00652C71" w:rsidRPr="004E01C7">
        <w:rPr>
          <w:rFonts w:ascii="Cambria" w:hAnsi="Cambria"/>
          <w:color w:val="auto"/>
          <w:sz w:val="20"/>
          <w:szCs w:val="20"/>
          <w:lang w:val="es-US"/>
        </w:rPr>
        <w:t xml:space="preserve">todas las </w:t>
      </w:r>
      <w:r w:rsidRPr="004E01C7">
        <w:rPr>
          <w:rFonts w:ascii="Cambria" w:hAnsi="Cambria"/>
          <w:color w:val="auto"/>
          <w:sz w:val="20"/>
          <w:szCs w:val="20"/>
          <w:lang w:val="es-US"/>
        </w:rPr>
        <w:t>instancia</w:t>
      </w:r>
      <w:r w:rsidR="00652C71" w:rsidRPr="004E01C7">
        <w:rPr>
          <w:rFonts w:ascii="Cambria" w:hAnsi="Cambria"/>
          <w:color w:val="auto"/>
          <w:sz w:val="20"/>
          <w:szCs w:val="20"/>
          <w:lang w:val="es-US"/>
        </w:rPr>
        <w:t>s</w:t>
      </w:r>
      <w:r w:rsidRPr="004E01C7">
        <w:rPr>
          <w:rFonts w:ascii="Cambria" w:hAnsi="Cambria"/>
          <w:color w:val="auto"/>
          <w:sz w:val="20"/>
          <w:szCs w:val="20"/>
          <w:lang w:val="es-US"/>
        </w:rPr>
        <w:t>, y en última instancia en casación por la Corte Suprema el 12 de junio de 2008</w:t>
      </w:r>
      <w:r w:rsidRPr="00916C87">
        <w:rPr>
          <w:rStyle w:val="FootnoteReference"/>
          <w:rFonts w:ascii="Cambria" w:hAnsi="Cambria"/>
          <w:color w:val="auto"/>
          <w:sz w:val="20"/>
          <w:szCs w:val="20"/>
          <w:lang w:val="es-US"/>
        </w:rPr>
        <w:footnoteReference w:id="45"/>
      </w:r>
      <w:r w:rsidRPr="004E01C7">
        <w:rPr>
          <w:rFonts w:ascii="Cambria" w:hAnsi="Cambria"/>
          <w:color w:val="auto"/>
          <w:sz w:val="20"/>
          <w:szCs w:val="20"/>
          <w:lang w:val="es-US"/>
        </w:rPr>
        <w:t xml:space="preserve">. </w:t>
      </w:r>
      <w:r w:rsidR="00916C87" w:rsidRPr="004E01C7">
        <w:rPr>
          <w:rFonts w:ascii="Cambria" w:hAnsi="Cambria"/>
          <w:color w:val="auto"/>
          <w:sz w:val="20"/>
          <w:szCs w:val="20"/>
          <w:lang w:val="es-US"/>
        </w:rPr>
        <w:t>En esta última resolución, la Corte Suprema precisó que “en nuestro ordenamiento jurídico no existe norma alguna que obligue al Presidente de la República a pagar deudas específicas de corporaciones autónomas de derecho público como la municipalidad demandante”</w:t>
      </w:r>
      <w:r w:rsidR="00916C87">
        <w:rPr>
          <w:rStyle w:val="FootnoteReference"/>
          <w:rFonts w:ascii="Cambria" w:hAnsi="Cambria"/>
          <w:color w:val="auto"/>
          <w:sz w:val="20"/>
          <w:szCs w:val="20"/>
          <w:lang w:val="es-US"/>
        </w:rPr>
        <w:footnoteReference w:id="46"/>
      </w:r>
      <w:r w:rsidR="00916C87" w:rsidRPr="004E01C7">
        <w:rPr>
          <w:rFonts w:ascii="Cambria" w:hAnsi="Cambria"/>
          <w:color w:val="auto"/>
          <w:sz w:val="20"/>
          <w:szCs w:val="20"/>
          <w:lang w:val="es-US"/>
        </w:rPr>
        <w:t xml:space="preserve">. </w:t>
      </w:r>
    </w:p>
    <w:p w14:paraId="4844D8AE" w14:textId="77777777" w:rsidR="00E676EC" w:rsidRDefault="00E676EC" w:rsidP="00DA7A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AR"/>
        </w:rPr>
      </w:pPr>
    </w:p>
    <w:p w14:paraId="14395F82" w14:textId="77777777" w:rsidR="00DA7A6F" w:rsidRDefault="0019471E" w:rsidP="004E01C7">
      <w:pPr>
        <w:pStyle w:val="Heading3"/>
        <w:ind w:left="540" w:hanging="540"/>
        <w:rPr>
          <w:lang w:val="es-ES_tradnl"/>
        </w:rPr>
      </w:pPr>
      <w:bookmarkStart w:id="17" w:name="_Toc532549548"/>
      <w:bookmarkStart w:id="18" w:name="_Toc5020341"/>
      <w:r>
        <w:rPr>
          <w:lang w:val="es-ES_tradnl"/>
        </w:rPr>
        <w:t>Acciones adelantadas a nivel interno para hacer cumplir las sentencias</w:t>
      </w:r>
      <w:r w:rsidR="00EE13BB">
        <w:rPr>
          <w:lang w:val="es-ES_tradnl"/>
        </w:rPr>
        <w:t xml:space="preserve"> de las otras municipalidades</w:t>
      </w:r>
      <w:bookmarkEnd w:id="17"/>
      <w:bookmarkEnd w:id="18"/>
    </w:p>
    <w:p w14:paraId="7811BEF6" w14:textId="77777777" w:rsidR="00DA7A6F" w:rsidRDefault="00DA7A6F" w:rsidP="00DA7A6F">
      <w:pPr>
        <w:rPr>
          <w:lang w:val="es-ES_tradnl"/>
        </w:rPr>
      </w:pPr>
    </w:p>
    <w:p w14:paraId="5BD7E12C" w14:textId="77777777" w:rsidR="004E01C7" w:rsidRDefault="00CB7925"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Pr>
          <w:rFonts w:ascii="Cambria" w:hAnsi="Cambria"/>
          <w:color w:val="auto"/>
          <w:sz w:val="20"/>
          <w:szCs w:val="20"/>
        </w:rPr>
        <w:t>La parte peticionaria informó acerca de varias acciones adelantadas en las varias causas para hacer cumplir las sentencias judiciales. La CIDH toma nota que estos procesos</w:t>
      </w:r>
      <w:r w:rsidR="00DB230F">
        <w:rPr>
          <w:rFonts w:ascii="Cambria" w:hAnsi="Cambria"/>
          <w:color w:val="auto"/>
          <w:sz w:val="20"/>
          <w:szCs w:val="20"/>
        </w:rPr>
        <w:t xml:space="preserve"> </w:t>
      </w:r>
      <w:r>
        <w:rPr>
          <w:rFonts w:ascii="Cambria" w:hAnsi="Cambria"/>
          <w:color w:val="auto"/>
          <w:sz w:val="20"/>
          <w:szCs w:val="20"/>
        </w:rPr>
        <w:t>incluyeron</w:t>
      </w:r>
      <w:r w:rsidR="00DB230F">
        <w:rPr>
          <w:rFonts w:ascii="Cambria" w:hAnsi="Cambria"/>
          <w:color w:val="auto"/>
          <w:sz w:val="20"/>
          <w:szCs w:val="20"/>
        </w:rPr>
        <w:t>, entre otros</w:t>
      </w:r>
      <w:r>
        <w:rPr>
          <w:rFonts w:ascii="Cambria" w:hAnsi="Cambria"/>
          <w:color w:val="auto"/>
          <w:sz w:val="20"/>
          <w:szCs w:val="20"/>
        </w:rPr>
        <w:t>: la firma de acuerdo</w:t>
      </w:r>
      <w:r w:rsidR="0030312D">
        <w:rPr>
          <w:rFonts w:ascii="Cambria" w:hAnsi="Cambria"/>
          <w:color w:val="auto"/>
          <w:sz w:val="20"/>
          <w:szCs w:val="20"/>
        </w:rPr>
        <w:t>s</w:t>
      </w:r>
      <w:r>
        <w:rPr>
          <w:rFonts w:ascii="Cambria" w:hAnsi="Cambria"/>
          <w:color w:val="auto"/>
          <w:sz w:val="20"/>
          <w:szCs w:val="20"/>
        </w:rPr>
        <w:t xml:space="preserve"> entre </w:t>
      </w:r>
      <w:r w:rsidR="00550C02">
        <w:rPr>
          <w:rFonts w:ascii="Cambria" w:hAnsi="Cambria"/>
          <w:color w:val="auto"/>
          <w:sz w:val="20"/>
          <w:szCs w:val="20"/>
        </w:rPr>
        <w:t>los docentes</w:t>
      </w:r>
      <w:r>
        <w:rPr>
          <w:rFonts w:ascii="Cambria" w:hAnsi="Cambria"/>
          <w:color w:val="auto"/>
          <w:sz w:val="20"/>
          <w:szCs w:val="20"/>
        </w:rPr>
        <w:t xml:space="preserve"> afectados y la municipalidad en cuestión, con un compromiso de la municipalidad de pagar parte de la deuda en cuotas y de demandar al Fisco de Chile para tener </w:t>
      </w:r>
      <w:r w:rsidR="004C483E">
        <w:rPr>
          <w:rFonts w:ascii="Cambria" w:hAnsi="Cambria"/>
          <w:color w:val="auto"/>
          <w:sz w:val="20"/>
          <w:szCs w:val="20"/>
        </w:rPr>
        <w:t xml:space="preserve">los recursos para poder pagar; el incumplimiento de </w:t>
      </w:r>
      <w:r w:rsidR="000D74C1">
        <w:rPr>
          <w:rFonts w:ascii="Cambria" w:hAnsi="Cambria"/>
          <w:color w:val="auto"/>
          <w:sz w:val="20"/>
          <w:szCs w:val="20"/>
        </w:rPr>
        <w:t>estos</w:t>
      </w:r>
      <w:r w:rsidR="00550C02">
        <w:rPr>
          <w:rFonts w:ascii="Cambria" w:hAnsi="Cambria"/>
          <w:color w:val="auto"/>
          <w:sz w:val="20"/>
          <w:szCs w:val="20"/>
        </w:rPr>
        <w:t xml:space="preserve"> acuerdos por parte de las municipalidades (en algunos casos porque sus demandas al Fisco fueron rechazadas); así como iniciativas para emitir decretos alcaldicios para requerir el pago, los cuales tampoco lograron el pago de las sumas requeridas. </w:t>
      </w:r>
    </w:p>
    <w:p w14:paraId="03E62DEE" w14:textId="77777777" w:rsidR="004E01C7" w:rsidRDefault="00DA7A6F"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auto"/>
          <w:sz w:val="20"/>
          <w:szCs w:val="20"/>
          <w:lang w:val="es-MX"/>
        </w:rPr>
        <w:t>La Municipalidad de Chanco interpuso dos demandas contra el Fisco de Chile ante el 8º Juzgado Civil de Santiago</w:t>
      </w:r>
      <w:r w:rsidR="0019471E" w:rsidRPr="004E01C7">
        <w:rPr>
          <w:rFonts w:ascii="Cambria" w:hAnsi="Cambria"/>
          <w:color w:val="auto"/>
          <w:sz w:val="20"/>
          <w:szCs w:val="20"/>
          <w:lang w:val="es-MX"/>
        </w:rPr>
        <w:t xml:space="preserve"> para requerir el pago de las sumas dispuestas en las dos causas </w:t>
      </w:r>
      <w:r w:rsidR="0019471E" w:rsidRPr="004E01C7">
        <w:rPr>
          <w:rFonts w:ascii="Cambria" w:hAnsi="Cambria"/>
          <w:i/>
          <w:color w:val="auto"/>
          <w:sz w:val="20"/>
          <w:szCs w:val="20"/>
          <w:lang w:val="es-MX"/>
        </w:rPr>
        <w:t xml:space="preserve">Franzani </w:t>
      </w:r>
      <w:r w:rsidR="00213BF7" w:rsidRPr="004E01C7">
        <w:rPr>
          <w:rFonts w:ascii="Cambria" w:hAnsi="Cambria"/>
          <w:i/>
          <w:color w:val="auto"/>
          <w:sz w:val="20"/>
          <w:szCs w:val="20"/>
          <w:lang w:val="es-MX"/>
        </w:rPr>
        <w:t>contra</w:t>
      </w:r>
      <w:r w:rsidR="0019471E" w:rsidRPr="004E01C7">
        <w:rPr>
          <w:rFonts w:ascii="Cambria" w:hAnsi="Cambria"/>
          <w:i/>
          <w:color w:val="auto"/>
          <w:sz w:val="20"/>
          <w:szCs w:val="20"/>
          <w:lang w:val="es-MX"/>
        </w:rPr>
        <w:t xml:space="preserve"> Municipalidad de Chanco</w:t>
      </w:r>
      <w:r w:rsidR="0019471E" w:rsidRPr="00DA7A6F">
        <w:rPr>
          <w:rStyle w:val="FootnoteReference"/>
          <w:rFonts w:ascii="Cambria" w:hAnsi="Cambria"/>
          <w:color w:val="auto"/>
          <w:sz w:val="20"/>
          <w:szCs w:val="20"/>
          <w:lang w:val="es-MX"/>
        </w:rPr>
        <w:footnoteReference w:id="47"/>
      </w:r>
      <w:r w:rsidRPr="004E01C7">
        <w:rPr>
          <w:rFonts w:ascii="Cambria" w:hAnsi="Cambria"/>
          <w:color w:val="auto"/>
          <w:sz w:val="20"/>
          <w:szCs w:val="20"/>
          <w:lang w:val="es-MX"/>
        </w:rPr>
        <w:t xml:space="preserve">. Ambas recibieron sentencia definitiva el 8 de mayo de 2001, denegando </w:t>
      </w:r>
      <w:r w:rsidR="0019471E" w:rsidRPr="004E01C7">
        <w:rPr>
          <w:rFonts w:ascii="Cambria" w:hAnsi="Cambria"/>
          <w:color w:val="auto"/>
          <w:sz w:val="20"/>
          <w:szCs w:val="20"/>
          <w:lang w:val="es-MX"/>
        </w:rPr>
        <w:t>la solicitud</w:t>
      </w:r>
      <w:r w:rsidRPr="004E01C7">
        <w:rPr>
          <w:rFonts w:ascii="Cambria" w:hAnsi="Cambria"/>
          <w:color w:val="auto"/>
          <w:sz w:val="20"/>
          <w:szCs w:val="20"/>
          <w:lang w:val="es-MX"/>
        </w:rPr>
        <w:t>. La primera demanda, Rol. 1860-00, fue confirmada en segunda instancia el 25 de octubre de 2006 y resuelto en último término en recurso de casación por la Corte Suprema el 12 de junio de 2008. La segunda demanda, Rol. 1861-00, fue confirmada en segunda instancia el 6 de noviembre de 2006 y rechazada en última instancia en el recurso de casación por la Corte Suprema el 30 de junio de 2008</w:t>
      </w:r>
      <w:r w:rsidRPr="00DA7A6F">
        <w:rPr>
          <w:rStyle w:val="FootnoteReference"/>
          <w:rFonts w:ascii="Cambria" w:hAnsi="Cambria"/>
          <w:color w:val="auto"/>
          <w:sz w:val="20"/>
          <w:szCs w:val="20"/>
          <w:lang w:val="es-MX"/>
        </w:rPr>
        <w:footnoteReference w:id="48"/>
      </w:r>
      <w:r w:rsidRPr="004E01C7">
        <w:rPr>
          <w:rFonts w:ascii="Cambria" w:hAnsi="Cambria"/>
          <w:color w:val="auto"/>
          <w:sz w:val="20"/>
          <w:szCs w:val="20"/>
          <w:lang w:val="es-MX"/>
        </w:rPr>
        <w:t>.</w:t>
      </w:r>
    </w:p>
    <w:p w14:paraId="307CA7E1" w14:textId="77777777" w:rsidR="004E01C7" w:rsidRDefault="004E01C7" w:rsidP="004E01C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auto"/>
          <w:sz w:val="20"/>
          <w:szCs w:val="20"/>
        </w:rPr>
      </w:pPr>
    </w:p>
    <w:p w14:paraId="394120DB" w14:textId="77777777" w:rsidR="004E01C7" w:rsidRDefault="0019471E"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auto"/>
          <w:sz w:val="20"/>
          <w:szCs w:val="20"/>
        </w:rPr>
        <w:t>Respecto de los dos casos respecto de la Municipalidad de Pelluhue, la parte peticionaria informó que las últimas liquidaciones del crédito aprobadas por el Tribunal son de octubre de 1995 y, respecto de la demanda Rol. 222-1993, en marzo de 1996 “los abogados de los demandantes solicitaron la ejecución incidental del demandado […] el Tribunal desecha con la misma fecha […] Constan en el proceso resoluciones adicionales referidas a desarchivo de determinadas piezas”, la última de las cuales de junio de 2002</w:t>
      </w:r>
      <w:r>
        <w:rPr>
          <w:rStyle w:val="FootnoteReference"/>
          <w:rFonts w:ascii="Cambria" w:hAnsi="Cambria"/>
          <w:color w:val="auto"/>
          <w:sz w:val="20"/>
          <w:szCs w:val="20"/>
        </w:rPr>
        <w:footnoteReference w:id="49"/>
      </w:r>
      <w:r w:rsidRPr="004E01C7">
        <w:rPr>
          <w:rFonts w:ascii="Cambria" w:hAnsi="Cambria"/>
          <w:color w:val="auto"/>
          <w:sz w:val="20"/>
          <w:szCs w:val="20"/>
        </w:rPr>
        <w:t>.</w:t>
      </w:r>
    </w:p>
    <w:p w14:paraId="12963B4B" w14:textId="77777777" w:rsidR="004E01C7" w:rsidRPr="004E01C7" w:rsidRDefault="004E01C7" w:rsidP="004E01C7">
      <w:pPr>
        <w:pStyle w:val="ListParagraph"/>
        <w:rPr>
          <w:color w:val="auto"/>
          <w:sz w:val="20"/>
          <w:szCs w:val="20"/>
          <w:lang w:val="es-VE"/>
        </w:rPr>
      </w:pPr>
    </w:p>
    <w:p w14:paraId="286D5589" w14:textId="77777777" w:rsidR="004E01C7" w:rsidRDefault="00583B64"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auto"/>
          <w:sz w:val="20"/>
          <w:szCs w:val="20"/>
        </w:rPr>
        <w:t>Respecto de los cuatro casos de Parral (</w:t>
      </w:r>
      <w:r w:rsidRPr="004E01C7">
        <w:rPr>
          <w:rFonts w:ascii="Cambria" w:hAnsi="Cambria"/>
          <w:i/>
          <w:color w:val="auto"/>
          <w:sz w:val="20"/>
          <w:szCs w:val="20"/>
        </w:rPr>
        <w:t>Bayer</w:t>
      </w:r>
      <w:r w:rsidRPr="004E01C7">
        <w:rPr>
          <w:rFonts w:ascii="Cambria" w:hAnsi="Cambria"/>
          <w:color w:val="auto"/>
          <w:sz w:val="20"/>
          <w:szCs w:val="20"/>
        </w:rPr>
        <w:t xml:space="preserve">, </w:t>
      </w:r>
      <w:r w:rsidRPr="004E01C7">
        <w:rPr>
          <w:rFonts w:ascii="Cambria" w:hAnsi="Cambria"/>
          <w:i/>
          <w:color w:val="auto"/>
          <w:sz w:val="20"/>
          <w:szCs w:val="20"/>
        </w:rPr>
        <w:t>Bustamante</w:t>
      </w:r>
      <w:r w:rsidRPr="004E01C7">
        <w:rPr>
          <w:rFonts w:ascii="Cambria" w:hAnsi="Cambria"/>
          <w:color w:val="auto"/>
          <w:sz w:val="20"/>
          <w:szCs w:val="20"/>
        </w:rPr>
        <w:t xml:space="preserve">, </w:t>
      </w:r>
      <w:r w:rsidRPr="004E01C7">
        <w:rPr>
          <w:rFonts w:ascii="Cambria" w:hAnsi="Cambria"/>
          <w:i/>
          <w:color w:val="auto"/>
          <w:sz w:val="20"/>
          <w:szCs w:val="20"/>
        </w:rPr>
        <w:t>Belmar</w:t>
      </w:r>
      <w:r w:rsidRPr="004E01C7">
        <w:rPr>
          <w:rFonts w:ascii="Cambria" w:hAnsi="Cambria"/>
          <w:color w:val="auto"/>
          <w:sz w:val="20"/>
          <w:szCs w:val="20"/>
        </w:rPr>
        <w:t xml:space="preserve"> y </w:t>
      </w:r>
      <w:r w:rsidRPr="004E01C7">
        <w:rPr>
          <w:rFonts w:ascii="Cambria" w:hAnsi="Cambria"/>
          <w:i/>
          <w:color w:val="auto"/>
          <w:sz w:val="20"/>
          <w:szCs w:val="20"/>
        </w:rPr>
        <w:t>Salazar</w:t>
      </w:r>
      <w:r w:rsidRPr="004E01C7">
        <w:rPr>
          <w:rFonts w:ascii="Cambria" w:hAnsi="Cambria"/>
          <w:color w:val="auto"/>
          <w:sz w:val="20"/>
          <w:szCs w:val="20"/>
        </w:rPr>
        <w:t>), la parte peticionaria indicó que los demandantes llegaron a Acuerd</w:t>
      </w:r>
      <w:r w:rsidR="00163FEA" w:rsidRPr="004E01C7">
        <w:rPr>
          <w:rFonts w:ascii="Cambria" w:hAnsi="Cambria"/>
          <w:color w:val="auto"/>
          <w:sz w:val="20"/>
          <w:szCs w:val="20"/>
        </w:rPr>
        <w:t>os de Pago con la municipalidad —</w:t>
      </w:r>
      <w:r w:rsidR="00163FEA" w:rsidRPr="004E01C7">
        <w:rPr>
          <w:rFonts w:ascii="Cambria" w:hAnsi="Cambria"/>
          <w:i/>
          <w:color w:val="auto"/>
          <w:sz w:val="20"/>
          <w:szCs w:val="20"/>
        </w:rPr>
        <w:t>Bustamante</w:t>
      </w:r>
      <w:r w:rsidR="00163FEA" w:rsidRPr="004E01C7">
        <w:rPr>
          <w:rFonts w:ascii="Cambria" w:hAnsi="Cambria"/>
          <w:color w:val="auto"/>
          <w:sz w:val="20"/>
          <w:szCs w:val="20"/>
        </w:rPr>
        <w:t xml:space="preserve"> el 19 de enero de 2007, y los otros tres casos el 15 de julio de 1999— los cuales comprometieron a la municipalidad a pagar un porcentaje de la deuda total</w:t>
      </w:r>
      <w:r w:rsidR="00354DB3" w:rsidRPr="004E01C7">
        <w:rPr>
          <w:rFonts w:ascii="Cambria" w:hAnsi="Cambria"/>
          <w:color w:val="auto"/>
          <w:sz w:val="20"/>
          <w:szCs w:val="20"/>
        </w:rPr>
        <w:t xml:space="preserve"> en cuotas</w:t>
      </w:r>
      <w:r w:rsidR="00163FEA" w:rsidRPr="004E01C7">
        <w:rPr>
          <w:rFonts w:ascii="Cambria" w:hAnsi="Cambria"/>
          <w:color w:val="auto"/>
          <w:sz w:val="20"/>
          <w:szCs w:val="20"/>
        </w:rPr>
        <w:t xml:space="preserve">, y a demandar al Fisco de Chile con el objeto de obtener los fondos para ello. </w:t>
      </w:r>
      <w:r w:rsidR="00354DB3" w:rsidRPr="004E01C7">
        <w:rPr>
          <w:rFonts w:ascii="Cambria" w:hAnsi="Cambria"/>
          <w:color w:val="auto"/>
          <w:sz w:val="20"/>
          <w:szCs w:val="20"/>
        </w:rPr>
        <w:t>De acuerdo con la parte peticionaria, dichos acuerdos no fueron cumplidos por la municipalidad, por lo que se solicitó dejarlos sin efecto el 28 de marzo de 2008</w:t>
      </w:r>
      <w:r w:rsidR="00BD3A10" w:rsidRPr="004E01C7">
        <w:rPr>
          <w:rFonts w:ascii="Cambria" w:hAnsi="Cambria"/>
          <w:color w:val="auto"/>
          <w:sz w:val="20"/>
          <w:szCs w:val="20"/>
        </w:rPr>
        <w:t xml:space="preserve">, en el caso </w:t>
      </w:r>
      <w:r w:rsidR="00BD3A10" w:rsidRPr="004E01C7">
        <w:rPr>
          <w:rFonts w:ascii="Cambria" w:hAnsi="Cambria"/>
          <w:i/>
          <w:color w:val="auto"/>
          <w:sz w:val="20"/>
          <w:szCs w:val="20"/>
        </w:rPr>
        <w:t>Bustamante</w:t>
      </w:r>
      <w:r w:rsidR="00BD3A10" w:rsidRPr="004E01C7">
        <w:rPr>
          <w:rFonts w:ascii="Cambria" w:hAnsi="Cambria"/>
          <w:color w:val="auto"/>
          <w:sz w:val="20"/>
          <w:szCs w:val="20"/>
        </w:rPr>
        <w:t xml:space="preserve"> y el </w:t>
      </w:r>
      <w:r w:rsidR="00354DB3" w:rsidRPr="004E01C7">
        <w:rPr>
          <w:rFonts w:ascii="Cambria" w:hAnsi="Cambria"/>
          <w:color w:val="auto"/>
          <w:sz w:val="20"/>
          <w:szCs w:val="20"/>
        </w:rPr>
        <w:t xml:space="preserve">27 de marzo de 2007 en los otros tres casos. El Tribunal rechazó estas solicitudes el </w:t>
      </w:r>
      <w:r w:rsidR="00BD3A10" w:rsidRPr="004E01C7">
        <w:rPr>
          <w:rFonts w:ascii="Cambria" w:hAnsi="Cambria"/>
          <w:color w:val="auto"/>
          <w:sz w:val="20"/>
          <w:szCs w:val="20"/>
        </w:rPr>
        <w:t xml:space="preserve">13 de enero de 2009, en el caso </w:t>
      </w:r>
      <w:r w:rsidR="00BD3A10" w:rsidRPr="004E01C7">
        <w:rPr>
          <w:rFonts w:ascii="Cambria" w:hAnsi="Cambria"/>
          <w:i/>
          <w:color w:val="auto"/>
          <w:sz w:val="20"/>
          <w:szCs w:val="20"/>
        </w:rPr>
        <w:t>Bustamante</w:t>
      </w:r>
      <w:r w:rsidR="00BD3A10" w:rsidRPr="004E01C7">
        <w:rPr>
          <w:rFonts w:ascii="Cambria" w:hAnsi="Cambria"/>
          <w:color w:val="auto"/>
          <w:sz w:val="20"/>
          <w:szCs w:val="20"/>
        </w:rPr>
        <w:t xml:space="preserve"> y el </w:t>
      </w:r>
      <w:r w:rsidR="00354DB3" w:rsidRPr="004E01C7">
        <w:rPr>
          <w:rFonts w:ascii="Cambria" w:hAnsi="Cambria"/>
          <w:color w:val="auto"/>
          <w:sz w:val="20"/>
          <w:szCs w:val="20"/>
        </w:rPr>
        <w:t>31 de marzo de 2008</w:t>
      </w:r>
      <w:r w:rsidR="00BD3A10" w:rsidRPr="004E01C7">
        <w:rPr>
          <w:rFonts w:ascii="Cambria" w:hAnsi="Cambria"/>
          <w:color w:val="auto"/>
          <w:sz w:val="20"/>
          <w:szCs w:val="20"/>
        </w:rPr>
        <w:t xml:space="preserve"> en los otros tres casos</w:t>
      </w:r>
      <w:r w:rsidR="00354DB3" w:rsidRPr="004E01C7">
        <w:rPr>
          <w:rFonts w:ascii="Cambria" w:hAnsi="Cambria"/>
          <w:color w:val="auto"/>
          <w:sz w:val="20"/>
          <w:szCs w:val="20"/>
        </w:rPr>
        <w:t xml:space="preserve">. </w:t>
      </w:r>
      <w:r w:rsidR="00BD3A10" w:rsidRPr="004E01C7">
        <w:rPr>
          <w:rFonts w:ascii="Cambria" w:hAnsi="Cambria"/>
          <w:color w:val="auto"/>
          <w:sz w:val="20"/>
          <w:szCs w:val="20"/>
        </w:rPr>
        <w:t xml:space="preserve">La resolución del caso </w:t>
      </w:r>
      <w:r w:rsidR="00BD3A10" w:rsidRPr="004E01C7">
        <w:rPr>
          <w:rFonts w:ascii="Cambria" w:hAnsi="Cambria"/>
          <w:i/>
          <w:color w:val="auto"/>
          <w:sz w:val="20"/>
          <w:szCs w:val="20"/>
        </w:rPr>
        <w:t xml:space="preserve">Salazar </w:t>
      </w:r>
      <w:r w:rsidR="00BD3A10" w:rsidRPr="004E01C7">
        <w:rPr>
          <w:rFonts w:ascii="Cambria" w:hAnsi="Cambria"/>
          <w:color w:val="auto"/>
          <w:sz w:val="20"/>
          <w:szCs w:val="20"/>
        </w:rPr>
        <w:t>fue confirmada por la corte de apelaciones el 4 de marzo de 2009, y l</w:t>
      </w:r>
      <w:r w:rsidR="00354DB3" w:rsidRPr="004E01C7">
        <w:rPr>
          <w:rFonts w:ascii="Cambria" w:hAnsi="Cambria"/>
          <w:color w:val="auto"/>
          <w:sz w:val="20"/>
          <w:szCs w:val="20"/>
        </w:rPr>
        <w:t xml:space="preserve">a resolución del caso </w:t>
      </w:r>
      <w:r w:rsidR="00354DB3" w:rsidRPr="004E01C7">
        <w:rPr>
          <w:rFonts w:ascii="Cambria" w:hAnsi="Cambria"/>
          <w:i/>
          <w:color w:val="auto"/>
          <w:sz w:val="20"/>
          <w:szCs w:val="20"/>
        </w:rPr>
        <w:t>Bustamante</w:t>
      </w:r>
      <w:r w:rsidR="00354DB3" w:rsidRPr="004E01C7">
        <w:rPr>
          <w:rFonts w:ascii="Cambria" w:hAnsi="Cambria"/>
          <w:color w:val="auto"/>
          <w:sz w:val="20"/>
          <w:szCs w:val="20"/>
        </w:rPr>
        <w:t xml:space="preserve"> fue confirmada por la corte de apelaciones el 25 de marzo de 2009</w:t>
      </w:r>
      <w:r w:rsidR="00A16BA5">
        <w:rPr>
          <w:rStyle w:val="FootnoteReference"/>
          <w:rFonts w:ascii="Cambria" w:hAnsi="Cambria"/>
          <w:color w:val="auto"/>
          <w:sz w:val="20"/>
          <w:szCs w:val="20"/>
        </w:rPr>
        <w:footnoteReference w:id="50"/>
      </w:r>
      <w:r w:rsidR="00354DB3" w:rsidRPr="004E01C7">
        <w:rPr>
          <w:rFonts w:ascii="Cambria" w:hAnsi="Cambria"/>
          <w:color w:val="auto"/>
          <w:sz w:val="20"/>
          <w:szCs w:val="20"/>
        </w:rPr>
        <w:t>.</w:t>
      </w:r>
    </w:p>
    <w:p w14:paraId="05771F79" w14:textId="77777777" w:rsidR="004E01C7" w:rsidRDefault="004E01C7" w:rsidP="004E01C7">
      <w:pPr>
        <w:pStyle w:val="ListParagraph"/>
        <w:rPr>
          <w:color w:val="auto"/>
          <w:sz w:val="20"/>
          <w:szCs w:val="20"/>
          <w:lang w:val="es-US"/>
        </w:rPr>
      </w:pPr>
    </w:p>
    <w:p w14:paraId="45FF08FF" w14:textId="77777777" w:rsidR="004E01C7" w:rsidRDefault="00213BF7"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auto"/>
          <w:sz w:val="20"/>
          <w:szCs w:val="20"/>
          <w:lang w:val="es-US"/>
        </w:rPr>
        <w:t xml:space="preserve">En el caso </w:t>
      </w:r>
      <w:r w:rsidRPr="004E01C7">
        <w:rPr>
          <w:rFonts w:ascii="Cambria" w:hAnsi="Cambria"/>
          <w:i/>
          <w:color w:val="auto"/>
          <w:sz w:val="20"/>
          <w:szCs w:val="20"/>
          <w:lang w:val="es-US"/>
        </w:rPr>
        <w:t>Ramírez Ortiz contra Municipalidad de Vallenar</w:t>
      </w:r>
      <w:r w:rsidRPr="004E01C7">
        <w:rPr>
          <w:rFonts w:ascii="Cambria" w:hAnsi="Cambria"/>
          <w:color w:val="auto"/>
          <w:sz w:val="20"/>
          <w:szCs w:val="20"/>
          <w:lang w:val="es-US"/>
        </w:rPr>
        <w:t>, l</w:t>
      </w:r>
      <w:r w:rsidRPr="004E01C7">
        <w:rPr>
          <w:sz w:val="20"/>
          <w:szCs w:val="20"/>
          <w:lang w:val="es-US"/>
        </w:rPr>
        <w:t xml:space="preserve">a última liquidación del crédito aprobada por el Tribunal </w:t>
      </w:r>
      <w:r w:rsidR="00B65D86" w:rsidRPr="004E01C7">
        <w:rPr>
          <w:sz w:val="20"/>
          <w:szCs w:val="20"/>
          <w:lang w:val="es-US"/>
        </w:rPr>
        <w:t>en</w:t>
      </w:r>
      <w:r w:rsidRPr="004E01C7">
        <w:rPr>
          <w:sz w:val="20"/>
          <w:szCs w:val="20"/>
          <w:lang w:val="es-US"/>
        </w:rPr>
        <w:t xml:space="preserve"> </w:t>
      </w:r>
      <w:r w:rsidR="00B65D86" w:rsidRPr="004E01C7">
        <w:rPr>
          <w:sz w:val="20"/>
          <w:szCs w:val="20"/>
          <w:lang w:val="es-US"/>
        </w:rPr>
        <w:t xml:space="preserve">noviembre de 2008 es </w:t>
      </w:r>
      <w:r w:rsidRPr="004E01C7">
        <w:rPr>
          <w:sz w:val="20"/>
          <w:szCs w:val="20"/>
          <w:lang w:val="es-US"/>
        </w:rPr>
        <w:t>de $3.367.170.587.</w:t>
      </w:r>
      <w:r w:rsidR="00B65D86" w:rsidRPr="004E01C7">
        <w:rPr>
          <w:rFonts w:ascii="Cambria" w:hAnsi="Cambria"/>
          <w:color w:val="auto"/>
          <w:sz w:val="20"/>
          <w:szCs w:val="20"/>
        </w:rPr>
        <w:t xml:space="preserve"> </w:t>
      </w:r>
      <w:r w:rsidRPr="004E01C7">
        <w:rPr>
          <w:sz w:val="20"/>
          <w:szCs w:val="20"/>
          <w:lang w:val="es-US"/>
        </w:rPr>
        <w:t>La</w:t>
      </w:r>
      <w:r w:rsidR="00B65D86" w:rsidRPr="004E01C7">
        <w:rPr>
          <w:sz w:val="20"/>
          <w:szCs w:val="20"/>
          <w:lang w:val="es-US"/>
        </w:rPr>
        <w:t xml:space="preserve"> parte peticionaria informó que “las</w:t>
      </w:r>
      <w:r w:rsidRPr="004E01C7">
        <w:rPr>
          <w:sz w:val="20"/>
          <w:szCs w:val="20"/>
          <w:lang w:val="es-US"/>
        </w:rPr>
        <w:t xml:space="preserve"> partes suscrib</w:t>
      </w:r>
      <w:r w:rsidR="00B65D86" w:rsidRPr="004E01C7">
        <w:rPr>
          <w:sz w:val="20"/>
          <w:szCs w:val="20"/>
          <w:lang w:val="es-US"/>
        </w:rPr>
        <w:t>iero</w:t>
      </w:r>
      <w:r w:rsidRPr="004E01C7">
        <w:rPr>
          <w:sz w:val="20"/>
          <w:szCs w:val="20"/>
          <w:lang w:val="es-US"/>
        </w:rPr>
        <w:t xml:space="preserve">n un Convenio el 19 enero de 2007, en el que la Municipalidad </w:t>
      </w:r>
      <w:r w:rsidR="00B65D86" w:rsidRPr="004E01C7">
        <w:rPr>
          <w:sz w:val="20"/>
          <w:szCs w:val="20"/>
          <w:lang w:val="es-US"/>
        </w:rPr>
        <w:t>se comprometió</w:t>
      </w:r>
      <w:r w:rsidRPr="004E01C7">
        <w:rPr>
          <w:sz w:val="20"/>
          <w:szCs w:val="20"/>
          <w:lang w:val="es-US"/>
        </w:rPr>
        <w:t xml:space="preserve"> a pagar una suma de $700.000.000.- que asciende a una porcentaje de la deuda, en cumplimiento de su cláusula segunda, mientras que en la cláusula cuarta se determina que ante el incumplimiento de lo estipulado en la cláusula segunda dejará sin efecto el convenio y la parte demandante podrá proseguir con la ejecución de la sentencia definitiva de autos; por su parte, la cláusula quinta del Convenio de Pago estableció que cualquier monto que la I. Municipalidad de Vallenar Obtenga del Fisco de Chile y que diga relación con el pago de lo adeudado a los actores de estos autos, serán depositados en la cuenta corriente del Tribunal dentro de décimo día de que sean percibidos por el Municipio</w:t>
      </w:r>
      <w:r w:rsidR="00B65D86" w:rsidRPr="004E01C7">
        <w:rPr>
          <w:sz w:val="20"/>
          <w:szCs w:val="20"/>
          <w:lang w:val="es-US"/>
        </w:rPr>
        <w:t>”</w:t>
      </w:r>
      <w:r w:rsidR="00B65D86">
        <w:rPr>
          <w:rStyle w:val="FootnoteReference"/>
          <w:sz w:val="20"/>
          <w:szCs w:val="20"/>
          <w:lang w:val="es-US"/>
        </w:rPr>
        <w:footnoteReference w:id="51"/>
      </w:r>
      <w:r w:rsidRPr="004E01C7">
        <w:rPr>
          <w:sz w:val="20"/>
          <w:szCs w:val="20"/>
          <w:lang w:val="es-US"/>
        </w:rPr>
        <w:t>.</w:t>
      </w:r>
      <w:r w:rsidR="00513394" w:rsidRPr="004E01C7">
        <w:rPr>
          <w:sz w:val="20"/>
          <w:szCs w:val="20"/>
          <w:lang w:val="es-US"/>
        </w:rPr>
        <w:t xml:space="preserve"> (</w:t>
      </w:r>
      <w:r w:rsidR="00513394" w:rsidRPr="004E01C7">
        <w:rPr>
          <w:i/>
          <w:sz w:val="20"/>
          <w:szCs w:val="20"/>
          <w:lang w:val="es-US"/>
        </w:rPr>
        <w:t>Ver también</w:t>
      </w:r>
      <w:r w:rsidR="00513394" w:rsidRPr="004E01C7">
        <w:rPr>
          <w:sz w:val="20"/>
          <w:szCs w:val="20"/>
          <w:lang w:val="es-US"/>
        </w:rPr>
        <w:t xml:space="preserve"> abajo respecto de</w:t>
      </w:r>
      <w:r w:rsidR="00CC0301" w:rsidRPr="004E01C7">
        <w:rPr>
          <w:sz w:val="20"/>
          <w:szCs w:val="20"/>
          <w:lang w:val="es-US"/>
        </w:rPr>
        <w:t>l</w:t>
      </w:r>
      <w:r w:rsidR="00513394" w:rsidRPr="004E01C7">
        <w:rPr>
          <w:sz w:val="20"/>
          <w:szCs w:val="20"/>
          <w:lang w:val="es-US"/>
        </w:rPr>
        <w:t xml:space="preserve"> pago parcial realizado en esta causa).</w:t>
      </w:r>
    </w:p>
    <w:p w14:paraId="640906A3" w14:textId="77777777" w:rsidR="004E01C7" w:rsidRPr="004E01C7" w:rsidRDefault="004E01C7" w:rsidP="004E01C7">
      <w:pPr>
        <w:pStyle w:val="ListParagraph"/>
        <w:rPr>
          <w:color w:val="auto"/>
          <w:sz w:val="20"/>
          <w:szCs w:val="20"/>
          <w:lang w:val="es-VE"/>
        </w:rPr>
      </w:pPr>
    </w:p>
    <w:p w14:paraId="4950798D" w14:textId="77777777" w:rsidR="004E01C7" w:rsidRDefault="00B65D86"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auto"/>
          <w:sz w:val="20"/>
          <w:szCs w:val="20"/>
        </w:rPr>
        <w:t xml:space="preserve">En el caso </w:t>
      </w:r>
      <w:r w:rsidRPr="004E01C7">
        <w:rPr>
          <w:rFonts w:ascii="Cambria" w:hAnsi="Cambria"/>
          <w:i/>
          <w:color w:val="auto"/>
          <w:sz w:val="20"/>
          <w:szCs w:val="20"/>
        </w:rPr>
        <w:t>Agurto contra Municipalidad de Cauquenes</w:t>
      </w:r>
      <w:r w:rsidRPr="004E01C7">
        <w:rPr>
          <w:rFonts w:ascii="Cambria" w:hAnsi="Cambria"/>
          <w:color w:val="auto"/>
          <w:sz w:val="20"/>
          <w:szCs w:val="20"/>
        </w:rPr>
        <w:t xml:space="preserve">, el Tribunal ordenó la dictación de un Decreto Alcaldicio de pago, ante la cual el 16 de enero de 1995, la municipalidad </w:t>
      </w:r>
      <w:r w:rsidR="00163FEA" w:rsidRPr="004E01C7">
        <w:rPr>
          <w:sz w:val="20"/>
          <w:szCs w:val="20"/>
        </w:rPr>
        <w:t xml:space="preserve">manifestó la imposibilidad de </w:t>
      </w:r>
      <w:r w:rsidRPr="004E01C7">
        <w:rPr>
          <w:sz w:val="20"/>
          <w:szCs w:val="20"/>
        </w:rPr>
        <w:t>dictarlo toda vez que "Est</w:t>
      </w:r>
      <w:r w:rsidR="00163FEA" w:rsidRPr="004E01C7">
        <w:rPr>
          <w:sz w:val="20"/>
          <w:szCs w:val="20"/>
        </w:rPr>
        <w:t>e pago debe</w:t>
      </w:r>
      <w:r w:rsidR="00025B37" w:rsidRPr="004E01C7">
        <w:rPr>
          <w:sz w:val="20"/>
          <w:szCs w:val="20"/>
        </w:rPr>
        <w:t xml:space="preserve"> </w:t>
      </w:r>
      <w:r w:rsidR="00163FEA" w:rsidRPr="004E01C7">
        <w:rPr>
          <w:sz w:val="20"/>
          <w:szCs w:val="20"/>
        </w:rPr>
        <w:t xml:space="preserve">estar completamente financiado </w:t>
      </w:r>
      <w:r w:rsidR="00513394" w:rsidRPr="004E01C7">
        <w:rPr>
          <w:sz w:val="20"/>
          <w:szCs w:val="20"/>
        </w:rPr>
        <w:t>[</w:t>
      </w:r>
      <w:r w:rsidR="00163FEA" w:rsidRPr="004E01C7">
        <w:rPr>
          <w:sz w:val="20"/>
          <w:szCs w:val="20"/>
        </w:rPr>
        <w:t>..</w:t>
      </w:r>
      <w:r w:rsidR="00025B37" w:rsidRPr="004E01C7">
        <w:rPr>
          <w:sz w:val="20"/>
          <w:szCs w:val="20"/>
        </w:rPr>
        <w:t>.</w:t>
      </w:r>
      <w:r w:rsidR="00513394" w:rsidRPr="004E01C7">
        <w:rPr>
          <w:sz w:val="20"/>
          <w:szCs w:val="20"/>
        </w:rPr>
        <w:t>]</w:t>
      </w:r>
      <w:r w:rsidR="00025B37" w:rsidRPr="004E01C7">
        <w:rPr>
          <w:sz w:val="20"/>
          <w:szCs w:val="20"/>
        </w:rPr>
        <w:t xml:space="preserve"> y que como es de suponer, el </w:t>
      </w:r>
      <w:r w:rsidR="00163FEA" w:rsidRPr="004E01C7">
        <w:rPr>
          <w:sz w:val="20"/>
          <w:szCs w:val="20"/>
        </w:rPr>
        <w:t>presupuesto global es muy ajustado, que apenas alcanza para cubrir las</w:t>
      </w:r>
      <w:r w:rsidR="00025B37" w:rsidRPr="004E01C7">
        <w:rPr>
          <w:sz w:val="20"/>
          <w:szCs w:val="20"/>
        </w:rPr>
        <w:t xml:space="preserve"> </w:t>
      </w:r>
      <w:r w:rsidR="00163FEA" w:rsidRPr="004E01C7">
        <w:rPr>
          <w:sz w:val="20"/>
          <w:szCs w:val="20"/>
        </w:rPr>
        <w:t>ne</w:t>
      </w:r>
      <w:r w:rsidRPr="004E01C7">
        <w:rPr>
          <w:sz w:val="20"/>
          <w:szCs w:val="20"/>
        </w:rPr>
        <w:t xml:space="preserve">cesidades básicas </w:t>
      </w:r>
      <w:r w:rsidR="00513394" w:rsidRPr="004E01C7">
        <w:rPr>
          <w:sz w:val="20"/>
          <w:szCs w:val="20"/>
        </w:rPr>
        <w:t>[</w:t>
      </w:r>
      <w:r w:rsidRPr="004E01C7">
        <w:rPr>
          <w:sz w:val="20"/>
          <w:szCs w:val="20"/>
        </w:rPr>
        <w:t>...</w:t>
      </w:r>
      <w:r w:rsidR="00513394" w:rsidRPr="004E01C7">
        <w:rPr>
          <w:sz w:val="20"/>
          <w:szCs w:val="20"/>
        </w:rPr>
        <w:t>]</w:t>
      </w:r>
      <w:r w:rsidRPr="004E01C7">
        <w:rPr>
          <w:sz w:val="20"/>
          <w:szCs w:val="20"/>
        </w:rPr>
        <w:t xml:space="preserve">". Doce años después, el </w:t>
      </w:r>
      <w:r w:rsidR="00163FEA" w:rsidRPr="004E01C7">
        <w:rPr>
          <w:sz w:val="20"/>
          <w:szCs w:val="20"/>
        </w:rPr>
        <w:t>26 de noviembre de 2007,</w:t>
      </w:r>
      <w:r w:rsidR="00025B37" w:rsidRPr="004E01C7">
        <w:rPr>
          <w:sz w:val="20"/>
          <w:szCs w:val="20"/>
        </w:rPr>
        <w:t xml:space="preserve"> </w:t>
      </w:r>
      <w:r w:rsidRPr="004E01C7">
        <w:rPr>
          <w:sz w:val="20"/>
          <w:szCs w:val="20"/>
        </w:rPr>
        <w:t>la municipalidad</w:t>
      </w:r>
      <w:r w:rsidR="00163FEA" w:rsidRPr="004E01C7">
        <w:rPr>
          <w:sz w:val="20"/>
          <w:szCs w:val="20"/>
        </w:rPr>
        <w:t xml:space="preserve"> señaló que "</w:t>
      </w:r>
      <w:r w:rsidR="00513394" w:rsidRPr="004E01C7">
        <w:rPr>
          <w:sz w:val="20"/>
          <w:szCs w:val="20"/>
        </w:rPr>
        <w:t>[A]</w:t>
      </w:r>
      <w:r w:rsidR="00163FEA" w:rsidRPr="004E01C7">
        <w:rPr>
          <w:sz w:val="20"/>
          <w:szCs w:val="20"/>
        </w:rPr>
        <w:t xml:space="preserve"> esta administración </w:t>
      </w:r>
      <w:r w:rsidR="00513394" w:rsidRPr="004E01C7">
        <w:rPr>
          <w:sz w:val="20"/>
          <w:szCs w:val="20"/>
        </w:rPr>
        <w:t>[</w:t>
      </w:r>
      <w:r w:rsidR="00163FEA" w:rsidRPr="004E01C7">
        <w:rPr>
          <w:sz w:val="20"/>
          <w:szCs w:val="20"/>
        </w:rPr>
        <w:t>...</w:t>
      </w:r>
      <w:r w:rsidR="00513394" w:rsidRPr="004E01C7">
        <w:rPr>
          <w:sz w:val="20"/>
          <w:szCs w:val="20"/>
        </w:rPr>
        <w:t>]</w:t>
      </w:r>
      <w:r w:rsidR="00163FEA" w:rsidRPr="004E01C7">
        <w:rPr>
          <w:sz w:val="20"/>
          <w:szCs w:val="20"/>
        </w:rPr>
        <w:t xml:space="preserve"> desde el</w:t>
      </w:r>
      <w:r w:rsidR="00025B37" w:rsidRPr="004E01C7">
        <w:rPr>
          <w:sz w:val="20"/>
          <w:szCs w:val="20"/>
        </w:rPr>
        <w:t xml:space="preserve"> </w:t>
      </w:r>
      <w:r w:rsidR="00163FEA" w:rsidRPr="004E01C7">
        <w:rPr>
          <w:sz w:val="20"/>
          <w:szCs w:val="20"/>
        </w:rPr>
        <w:t xml:space="preserve">punto de vista presupuestario </w:t>
      </w:r>
      <w:r w:rsidR="00513394" w:rsidRPr="004E01C7">
        <w:rPr>
          <w:sz w:val="20"/>
          <w:szCs w:val="20"/>
        </w:rPr>
        <w:t>[</w:t>
      </w:r>
      <w:r w:rsidR="00163FEA" w:rsidRPr="004E01C7">
        <w:rPr>
          <w:sz w:val="20"/>
          <w:szCs w:val="20"/>
        </w:rPr>
        <w:t>...</w:t>
      </w:r>
      <w:r w:rsidR="00513394" w:rsidRPr="004E01C7">
        <w:rPr>
          <w:sz w:val="20"/>
          <w:szCs w:val="20"/>
        </w:rPr>
        <w:t>]</w:t>
      </w:r>
      <w:r w:rsidR="00163FEA" w:rsidRPr="004E01C7">
        <w:rPr>
          <w:sz w:val="20"/>
          <w:szCs w:val="20"/>
        </w:rPr>
        <w:t xml:space="preserve"> le pesa la imposibilidad de solucionar</w:t>
      </w:r>
      <w:r w:rsidR="00025B37" w:rsidRPr="004E01C7">
        <w:rPr>
          <w:sz w:val="20"/>
          <w:szCs w:val="20"/>
        </w:rPr>
        <w:t xml:space="preserve"> </w:t>
      </w:r>
      <w:r w:rsidR="00163FEA" w:rsidRPr="004E01C7">
        <w:rPr>
          <w:sz w:val="20"/>
          <w:szCs w:val="20"/>
        </w:rPr>
        <w:t xml:space="preserve">esta obligación </w:t>
      </w:r>
      <w:r w:rsidR="00513394" w:rsidRPr="004E01C7">
        <w:rPr>
          <w:sz w:val="20"/>
          <w:szCs w:val="20"/>
        </w:rPr>
        <w:t>[...]</w:t>
      </w:r>
      <w:r w:rsidR="00163FEA" w:rsidRPr="004E01C7">
        <w:rPr>
          <w:sz w:val="20"/>
          <w:szCs w:val="20"/>
        </w:rPr>
        <w:t xml:space="preserve"> por no contar con dichos recursos </w:t>
      </w:r>
      <w:r w:rsidR="00513394" w:rsidRPr="004E01C7">
        <w:rPr>
          <w:sz w:val="20"/>
          <w:szCs w:val="20"/>
        </w:rPr>
        <w:t>[</w:t>
      </w:r>
      <w:r w:rsidR="00163FEA" w:rsidRPr="004E01C7">
        <w:rPr>
          <w:sz w:val="20"/>
          <w:szCs w:val="20"/>
        </w:rPr>
        <w:t>...</w:t>
      </w:r>
      <w:r w:rsidR="00513394" w:rsidRPr="004E01C7">
        <w:rPr>
          <w:sz w:val="20"/>
          <w:szCs w:val="20"/>
        </w:rPr>
        <w:t>]</w:t>
      </w:r>
      <w:r w:rsidR="00163FEA" w:rsidRPr="004E01C7">
        <w:rPr>
          <w:sz w:val="20"/>
          <w:szCs w:val="20"/>
        </w:rPr>
        <w:t>"</w:t>
      </w:r>
      <w:r w:rsidRPr="004E01C7">
        <w:rPr>
          <w:sz w:val="20"/>
          <w:szCs w:val="20"/>
        </w:rPr>
        <w:t xml:space="preserve"> y el</w:t>
      </w:r>
      <w:r w:rsidR="00025B37" w:rsidRPr="004E01C7">
        <w:rPr>
          <w:sz w:val="20"/>
          <w:szCs w:val="20"/>
        </w:rPr>
        <w:t xml:space="preserve"> </w:t>
      </w:r>
      <w:r w:rsidR="00163FEA" w:rsidRPr="004E01C7">
        <w:rPr>
          <w:sz w:val="20"/>
          <w:szCs w:val="20"/>
        </w:rPr>
        <w:t xml:space="preserve">14 de agosto de 2008, </w:t>
      </w:r>
      <w:r w:rsidRPr="004E01C7">
        <w:rPr>
          <w:sz w:val="20"/>
          <w:szCs w:val="20"/>
        </w:rPr>
        <w:t>señaló</w:t>
      </w:r>
      <w:r w:rsidR="00163FEA" w:rsidRPr="004E01C7">
        <w:rPr>
          <w:sz w:val="20"/>
          <w:szCs w:val="20"/>
        </w:rPr>
        <w:t xml:space="preserve"> que "</w:t>
      </w:r>
      <w:r w:rsidR="00513394" w:rsidRPr="004E01C7">
        <w:rPr>
          <w:sz w:val="20"/>
          <w:szCs w:val="20"/>
        </w:rPr>
        <w:t>esta</w:t>
      </w:r>
      <w:r w:rsidR="00163FEA" w:rsidRPr="004E01C7">
        <w:rPr>
          <w:sz w:val="20"/>
          <w:szCs w:val="20"/>
        </w:rPr>
        <w:t xml:space="preserve"> obligación no se ha</w:t>
      </w:r>
      <w:r w:rsidR="00025B37" w:rsidRPr="004E01C7">
        <w:rPr>
          <w:sz w:val="20"/>
          <w:szCs w:val="20"/>
        </w:rPr>
        <w:t xml:space="preserve"> </w:t>
      </w:r>
      <w:r w:rsidR="00163FEA" w:rsidRPr="004E01C7">
        <w:rPr>
          <w:sz w:val="20"/>
          <w:szCs w:val="20"/>
        </w:rPr>
        <w:t>incluido en el ítem correspondiente del presupuesto municipal, debido a la imposibilidad absoluta de obtener su correlato de financiamiento</w:t>
      </w:r>
      <w:r w:rsidR="00025B37" w:rsidRPr="004E01C7">
        <w:rPr>
          <w:sz w:val="20"/>
          <w:szCs w:val="20"/>
        </w:rPr>
        <w:t xml:space="preserve"> </w:t>
      </w:r>
      <w:r w:rsidR="00513394" w:rsidRPr="004E01C7">
        <w:rPr>
          <w:sz w:val="20"/>
          <w:szCs w:val="20"/>
        </w:rPr>
        <w:t>[</w:t>
      </w:r>
      <w:r w:rsidR="00163FEA" w:rsidRPr="004E01C7">
        <w:rPr>
          <w:sz w:val="20"/>
          <w:szCs w:val="20"/>
        </w:rPr>
        <w:t>...</w:t>
      </w:r>
      <w:r w:rsidR="00513394" w:rsidRPr="004E01C7">
        <w:rPr>
          <w:sz w:val="20"/>
          <w:szCs w:val="20"/>
        </w:rPr>
        <w:t>]</w:t>
      </w:r>
      <w:r w:rsidRPr="004E01C7">
        <w:rPr>
          <w:sz w:val="20"/>
          <w:szCs w:val="20"/>
        </w:rPr>
        <w:t xml:space="preserve"> </w:t>
      </w:r>
      <w:r w:rsidR="00513394" w:rsidRPr="004E01C7">
        <w:rPr>
          <w:sz w:val="20"/>
          <w:szCs w:val="20"/>
        </w:rPr>
        <w:t>[se espera]</w:t>
      </w:r>
      <w:r w:rsidR="00163FEA" w:rsidRPr="004E01C7">
        <w:rPr>
          <w:sz w:val="20"/>
          <w:szCs w:val="20"/>
        </w:rPr>
        <w:t xml:space="preserve"> una solución </w:t>
      </w:r>
      <w:r w:rsidR="00513394" w:rsidRPr="004E01C7">
        <w:rPr>
          <w:sz w:val="20"/>
          <w:szCs w:val="20"/>
        </w:rPr>
        <w:t>financiera de parte del Estado Fisco</w:t>
      </w:r>
      <w:r w:rsidR="00163FEA" w:rsidRPr="004E01C7">
        <w:rPr>
          <w:sz w:val="20"/>
          <w:szCs w:val="20"/>
        </w:rPr>
        <w:t xml:space="preserve"> </w:t>
      </w:r>
      <w:r w:rsidR="00513394" w:rsidRPr="004E01C7">
        <w:rPr>
          <w:sz w:val="20"/>
          <w:szCs w:val="20"/>
        </w:rPr>
        <w:t>[</w:t>
      </w:r>
      <w:r w:rsidR="00163FEA" w:rsidRPr="004E01C7">
        <w:rPr>
          <w:sz w:val="20"/>
          <w:szCs w:val="20"/>
        </w:rPr>
        <w:t>...</w:t>
      </w:r>
      <w:r w:rsidR="00513394" w:rsidRPr="004E01C7">
        <w:rPr>
          <w:sz w:val="20"/>
          <w:szCs w:val="20"/>
        </w:rPr>
        <w:t>]</w:t>
      </w:r>
      <w:r w:rsidR="00163FEA" w:rsidRPr="004E01C7">
        <w:rPr>
          <w:sz w:val="20"/>
          <w:szCs w:val="20"/>
        </w:rPr>
        <w:t>"</w:t>
      </w:r>
      <w:r>
        <w:rPr>
          <w:rStyle w:val="FootnoteReference"/>
          <w:sz w:val="20"/>
          <w:szCs w:val="20"/>
        </w:rPr>
        <w:footnoteReference w:id="52"/>
      </w:r>
      <w:r w:rsidR="00163FEA" w:rsidRPr="004E01C7">
        <w:rPr>
          <w:sz w:val="20"/>
          <w:szCs w:val="20"/>
        </w:rPr>
        <w:t xml:space="preserve">. </w:t>
      </w:r>
    </w:p>
    <w:p w14:paraId="2F53E400" w14:textId="77777777" w:rsidR="004E01C7" w:rsidRDefault="004E01C7" w:rsidP="004E01C7">
      <w:pPr>
        <w:pStyle w:val="ListParagraph"/>
        <w:rPr>
          <w:color w:val="auto"/>
          <w:sz w:val="20"/>
          <w:szCs w:val="20"/>
        </w:rPr>
      </w:pPr>
    </w:p>
    <w:p w14:paraId="405E9C4E" w14:textId="77777777" w:rsidR="004E01C7" w:rsidRDefault="00B65D86"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auto"/>
          <w:sz w:val="20"/>
          <w:szCs w:val="20"/>
        </w:rPr>
        <w:t xml:space="preserve">En el caso </w:t>
      </w:r>
      <w:r w:rsidRPr="004E01C7">
        <w:rPr>
          <w:rFonts w:ascii="Cambria" w:hAnsi="Cambria"/>
          <w:i/>
          <w:color w:val="auto"/>
          <w:sz w:val="20"/>
          <w:szCs w:val="20"/>
        </w:rPr>
        <w:t>Barra contra Municipalidad de Cauquenes</w:t>
      </w:r>
      <w:r w:rsidRPr="004E01C7">
        <w:rPr>
          <w:rFonts w:ascii="Cambria" w:hAnsi="Cambria"/>
          <w:color w:val="auto"/>
          <w:sz w:val="20"/>
          <w:szCs w:val="20"/>
        </w:rPr>
        <w:t xml:space="preserve">, el Tribunal ordenó la dictación de un Decreto Alcaldicio de pago el </w:t>
      </w:r>
      <w:r w:rsidR="002B2F1B" w:rsidRPr="004E01C7">
        <w:rPr>
          <w:sz w:val="20"/>
          <w:szCs w:val="20"/>
        </w:rPr>
        <w:t>12 de diciembre de 2005</w:t>
      </w:r>
      <w:r w:rsidRPr="004E01C7">
        <w:rPr>
          <w:rFonts w:ascii="Cambria" w:hAnsi="Cambria"/>
          <w:color w:val="auto"/>
          <w:sz w:val="20"/>
          <w:szCs w:val="20"/>
        </w:rPr>
        <w:t xml:space="preserve">, ante la cual el Alcalde informó el </w:t>
      </w:r>
      <w:r w:rsidR="002B2F1B" w:rsidRPr="004E01C7">
        <w:rPr>
          <w:rFonts w:ascii="Cambria" w:hAnsi="Cambria"/>
          <w:color w:val="auto"/>
          <w:sz w:val="20"/>
          <w:szCs w:val="20"/>
        </w:rPr>
        <w:t>8</w:t>
      </w:r>
      <w:r w:rsidR="00E459CE" w:rsidRPr="004E01C7">
        <w:rPr>
          <w:rFonts w:ascii="Cambria" w:hAnsi="Cambria"/>
          <w:color w:val="auto"/>
          <w:sz w:val="20"/>
          <w:szCs w:val="20"/>
        </w:rPr>
        <w:t xml:space="preserve"> y 9</w:t>
      </w:r>
      <w:r w:rsidRPr="004E01C7">
        <w:rPr>
          <w:rFonts w:ascii="Cambria" w:hAnsi="Cambria"/>
          <w:color w:val="auto"/>
          <w:sz w:val="20"/>
          <w:szCs w:val="20"/>
        </w:rPr>
        <w:t xml:space="preserve"> de junio de 2006 </w:t>
      </w:r>
      <w:r w:rsidRPr="004E01C7">
        <w:rPr>
          <w:sz w:val="20"/>
          <w:szCs w:val="20"/>
        </w:rPr>
        <w:t xml:space="preserve">que </w:t>
      </w:r>
      <w:r w:rsidR="00E459CE" w:rsidRPr="004E01C7">
        <w:rPr>
          <w:sz w:val="20"/>
          <w:szCs w:val="20"/>
        </w:rPr>
        <w:t>el</w:t>
      </w:r>
      <w:r w:rsidRPr="004E01C7">
        <w:rPr>
          <w:sz w:val="20"/>
          <w:szCs w:val="20"/>
        </w:rPr>
        <w:t xml:space="preserve"> municipio no posee los fondos necesarios para </w:t>
      </w:r>
      <w:r w:rsidR="00E459CE" w:rsidRPr="004E01C7">
        <w:rPr>
          <w:sz w:val="20"/>
          <w:szCs w:val="20"/>
        </w:rPr>
        <w:t>hacer dicho pago</w:t>
      </w:r>
      <w:r w:rsidR="00E459CE">
        <w:rPr>
          <w:rStyle w:val="FootnoteReference"/>
          <w:sz w:val="20"/>
          <w:szCs w:val="20"/>
        </w:rPr>
        <w:footnoteReference w:id="53"/>
      </w:r>
      <w:r w:rsidRPr="004E01C7">
        <w:rPr>
          <w:sz w:val="20"/>
          <w:szCs w:val="20"/>
        </w:rPr>
        <w:t xml:space="preserve">. </w:t>
      </w:r>
    </w:p>
    <w:p w14:paraId="089F410B" w14:textId="77777777" w:rsidR="004E01C7" w:rsidRPr="004E01C7" w:rsidRDefault="004E01C7" w:rsidP="004E01C7">
      <w:pPr>
        <w:pStyle w:val="ListParagraph"/>
        <w:rPr>
          <w:color w:val="auto"/>
          <w:sz w:val="20"/>
          <w:szCs w:val="20"/>
          <w:lang w:val="es-VE"/>
        </w:rPr>
      </w:pPr>
    </w:p>
    <w:p w14:paraId="608EFB44" w14:textId="77777777" w:rsidR="004E01C7" w:rsidRDefault="00B65D86"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auto"/>
          <w:sz w:val="20"/>
          <w:szCs w:val="20"/>
        </w:rPr>
        <w:t xml:space="preserve">En el caso </w:t>
      </w:r>
      <w:r w:rsidRPr="004E01C7">
        <w:rPr>
          <w:rFonts w:ascii="Cambria" w:hAnsi="Cambria"/>
          <w:i/>
          <w:color w:val="auto"/>
          <w:sz w:val="20"/>
          <w:szCs w:val="20"/>
        </w:rPr>
        <w:t>Aguilera Machuca contra Municipalidad de Cauquenes</w:t>
      </w:r>
      <w:r w:rsidRPr="004E01C7">
        <w:rPr>
          <w:rFonts w:ascii="Cambria" w:hAnsi="Cambria"/>
          <w:color w:val="auto"/>
          <w:sz w:val="20"/>
          <w:szCs w:val="20"/>
        </w:rPr>
        <w:t xml:space="preserve">, </w:t>
      </w:r>
      <w:r w:rsidR="00E459CE" w:rsidRPr="004E01C7">
        <w:rPr>
          <w:rFonts w:ascii="Cambria" w:hAnsi="Cambria"/>
          <w:color w:val="auto"/>
          <w:sz w:val="20"/>
          <w:szCs w:val="20"/>
        </w:rPr>
        <w:t xml:space="preserve">el Tribunal ordenó la dictación de un Decreto Alcaldicio de pago el </w:t>
      </w:r>
      <w:r w:rsidR="00E459CE" w:rsidRPr="004E01C7">
        <w:rPr>
          <w:sz w:val="20"/>
          <w:szCs w:val="20"/>
        </w:rPr>
        <w:t>12 de diciembre de 2005</w:t>
      </w:r>
      <w:r w:rsidR="00E459CE" w:rsidRPr="004E01C7">
        <w:rPr>
          <w:rFonts w:ascii="Cambria" w:hAnsi="Cambria"/>
          <w:color w:val="auto"/>
          <w:sz w:val="20"/>
          <w:szCs w:val="20"/>
        </w:rPr>
        <w:t xml:space="preserve">, ante la cual el Alcalde informó el 8 y 9 de junio de 2006 </w:t>
      </w:r>
      <w:r w:rsidR="00E459CE" w:rsidRPr="004E01C7">
        <w:rPr>
          <w:sz w:val="20"/>
          <w:szCs w:val="20"/>
        </w:rPr>
        <w:t xml:space="preserve">que el municipio no posee los fondos necesarios para hacer dicho pago. Reiteró la "imposibilidad absoluta de obtener su correlato de financiamiento", en orden municipal </w:t>
      </w:r>
      <w:r w:rsidR="00E459CE" w:rsidRPr="004E01C7">
        <w:rPr>
          <w:sz w:val="20"/>
          <w:szCs w:val="20"/>
          <w:lang w:val="es-US"/>
        </w:rPr>
        <w:t>de 14 de agosto de 2008</w:t>
      </w:r>
      <w:r w:rsidR="002B2F1B">
        <w:rPr>
          <w:rStyle w:val="FootnoteReference"/>
          <w:sz w:val="20"/>
          <w:szCs w:val="20"/>
        </w:rPr>
        <w:footnoteReference w:id="54"/>
      </w:r>
      <w:r w:rsidR="002B2F1B" w:rsidRPr="004E01C7">
        <w:rPr>
          <w:sz w:val="20"/>
          <w:szCs w:val="20"/>
        </w:rPr>
        <w:t>.</w:t>
      </w:r>
    </w:p>
    <w:p w14:paraId="684A495A" w14:textId="77777777" w:rsidR="004E01C7" w:rsidRDefault="004E01C7" w:rsidP="004E01C7">
      <w:pPr>
        <w:pStyle w:val="ListParagraph"/>
        <w:rPr>
          <w:color w:val="auto"/>
          <w:sz w:val="20"/>
          <w:szCs w:val="20"/>
          <w:lang w:val="es-US"/>
        </w:rPr>
      </w:pPr>
    </w:p>
    <w:p w14:paraId="04ECDFE2" w14:textId="77777777" w:rsidR="00163FEA" w:rsidRPr="004E01C7" w:rsidRDefault="002B2F1B"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auto"/>
          <w:sz w:val="20"/>
          <w:szCs w:val="20"/>
          <w:lang w:val="es-US"/>
        </w:rPr>
        <w:t>Asimismo, la parte peticionaria indicó que l</w:t>
      </w:r>
      <w:r w:rsidR="00163FEA" w:rsidRPr="004E01C7">
        <w:rPr>
          <w:sz w:val="20"/>
          <w:szCs w:val="20"/>
        </w:rPr>
        <w:t>a Municipalidad de Cauquenes demand</w:t>
      </w:r>
      <w:r w:rsidRPr="004E01C7">
        <w:rPr>
          <w:sz w:val="20"/>
          <w:szCs w:val="20"/>
        </w:rPr>
        <w:t>ó al</w:t>
      </w:r>
      <w:r w:rsidR="00163FEA" w:rsidRPr="004E01C7">
        <w:rPr>
          <w:sz w:val="20"/>
          <w:szCs w:val="20"/>
        </w:rPr>
        <w:t xml:space="preserve"> Fisco de</w:t>
      </w:r>
      <w:r w:rsidR="00025B37" w:rsidRPr="004E01C7">
        <w:rPr>
          <w:sz w:val="20"/>
          <w:szCs w:val="20"/>
        </w:rPr>
        <w:t xml:space="preserve"> </w:t>
      </w:r>
      <w:r w:rsidR="00163FEA" w:rsidRPr="004E01C7">
        <w:rPr>
          <w:sz w:val="20"/>
          <w:szCs w:val="20"/>
        </w:rPr>
        <w:t xml:space="preserve">Chile ante el 24° Juzgado Civil de Santiago </w:t>
      </w:r>
      <w:r w:rsidRPr="004E01C7">
        <w:rPr>
          <w:sz w:val="20"/>
          <w:szCs w:val="20"/>
        </w:rPr>
        <w:t xml:space="preserve">el </w:t>
      </w:r>
      <w:r w:rsidR="00163FEA" w:rsidRPr="004E01C7">
        <w:rPr>
          <w:sz w:val="20"/>
          <w:szCs w:val="20"/>
        </w:rPr>
        <w:t>14 de marzo de 2000,</w:t>
      </w:r>
      <w:r w:rsidR="00025B37" w:rsidRPr="004E01C7">
        <w:rPr>
          <w:sz w:val="20"/>
          <w:szCs w:val="20"/>
        </w:rPr>
        <w:t xml:space="preserve"> </w:t>
      </w:r>
      <w:r w:rsidR="00163FEA" w:rsidRPr="004E01C7">
        <w:rPr>
          <w:sz w:val="20"/>
          <w:szCs w:val="20"/>
        </w:rPr>
        <w:t>solicitando los recursos necesarios para pagar la deuda de los</w:t>
      </w:r>
      <w:r w:rsidR="00025B37" w:rsidRPr="004E01C7">
        <w:rPr>
          <w:sz w:val="20"/>
          <w:szCs w:val="20"/>
        </w:rPr>
        <w:t xml:space="preserve"> </w:t>
      </w:r>
      <w:r w:rsidR="00163FEA" w:rsidRPr="004E01C7">
        <w:rPr>
          <w:sz w:val="20"/>
          <w:szCs w:val="20"/>
        </w:rPr>
        <w:t>docentes, en causa Rol 85-1999, caratul</w:t>
      </w:r>
      <w:r w:rsidR="00025B37" w:rsidRPr="004E01C7">
        <w:rPr>
          <w:sz w:val="20"/>
          <w:szCs w:val="20"/>
        </w:rPr>
        <w:t xml:space="preserve">ada "Fisco con Municipalidad de </w:t>
      </w:r>
      <w:r w:rsidR="00163FEA" w:rsidRPr="004E01C7">
        <w:rPr>
          <w:sz w:val="20"/>
          <w:szCs w:val="20"/>
        </w:rPr>
        <w:t>Cauquenes", obteniendo sentencia desfavorable con fecha 14 de marzo</w:t>
      </w:r>
      <w:r w:rsidR="00025B37" w:rsidRPr="004E01C7">
        <w:rPr>
          <w:sz w:val="20"/>
          <w:szCs w:val="20"/>
        </w:rPr>
        <w:t xml:space="preserve"> </w:t>
      </w:r>
      <w:r w:rsidR="00163FEA" w:rsidRPr="004E01C7">
        <w:rPr>
          <w:sz w:val="20"/>
          <w:szCs w:val="20"/>
        </w:rPr>
        <w:t xml:space="preserve">de 2000. </w:t>
      </w:r>
      <w:r w:rsidR="004333FB" w:rsidRPr="004E01C7">
        <w:rPr>
          <w:sz w:val="20"/>
          <w:szCs w:val="20"/>
        </w:rPr>
        <w:t>La demanda fue rechazada en última instancia por la</w:t>
      </w:r>
      <w:r w:rsidR="00163FEA" w:rsidRPr="004E01C7">
        <w:rPr>
          <w:sz w:val="20"/>
          <w:szCs w:val="20"/>
        </w:rPr>
        <w:t xml:space="preserve"> Corte</w:t>
      </w:r>
      <w:r w:rsidR="00025B37" w:rsidRPr="004E01C7">
        <w:rPr>
          <w:sz w:val="20"/>
          <w:szCs w:val="20"/>
        </w:rPr>
        <w:t xml:space="preserve"> </w:t>
      </w:r>
      <w:r w:rsidR="00163FEA" w:rsidRPr="004E01C7">
        <w:rPr>
          <w:sz w:val="20"/>
          <w:szCs w:val="20"/>
        </w:rPr>
        <w:t>Suprema con fecha 19 de noviembre de 2003</w:t>
      </w:r>
      <w:r w:rsidR="004333FB" w:rsidRPr="004E01C7">
        <w:rPr>
          <w:sz w:val="20"/>
          <w:szCs w:val="20"/>
        </w:rPr>
        <w:t>; la Corte</w:t>
      </w:r>
      <w:r w:rsidR="00163FEA" w:rsidRPr="004E01C7">
        <w:rPr>
          <w:sz w:val="20"/>
          <w:szCs w:val="20"/>
        </w:rPr>
        <w:t xml:space="preserve"> rechazó con costas los</w:t>
      </w:r>
      <w:r w:rsidR="00025B37" w:rsidRPr="004E01C7">
        <w:rPr>
          <w:sz w:val="20"/>
          <w:szCs w:val="20"/>
        </w:rPr>
        <w:t xml:space="preserve"> </w:t>
      </w:r>
      <w:r w:rsidR="00163FEA" w:rsidRPr="004E01C7">
        <w:rPr>
          <w:sz w:val="20"/>
          <w:szCs w:val="20"/>
        </w:rPr>
        <w:t>recursos de casación en el fondo y forma por parte de los demandantes</w:t>
      </w:r>
      <w:r w:rsidR="004333FB">
        <w:rPr>
          <w:rStyle w:val="FootnoteReference"/>
          <w:sz w:val="20"/>
          <w:szCs w:val="20"/>
        </w:rPr>
        <w:footnoteReference w:id="55"/>
      </w:r>
      <w:r w:rsidR="00163FEA" w:rsidRPr="004E01C7">
        <w:rPr>
          <w:sz w:val="20"/>
          <w:szCs w:val="20"/>
        </w:rPr>
        <w:t>.</w:t>
      </w:r>
      <w:r w:rsidR="00025B37" w:rsidRPr="004E01C7">
        <w:rPr>
          <w:sz w:val="20"/>
          <w:szCs w:val="20"/>
        </w:rPr>
        <w:t xml:space="preserve"> </w:t>
      </w:r>
    </w:p>
    <w:p w14:paraId="0E55A0F2" w14:textId="77777777" w:rsidR="00DA7A6F" w:rsidRPr="00DA7A6F" w:rsidRDefault="00DA7A6F" w:rsidP="00DA7A6F">
      <w:pPr>
        <w:rPr>
          <w:lang w:val="es-ES_tradnl"/>
        </w:rPr>
      </w:pPr>
    </w:p>
    <w:p w14:paraId="060C0E1A" w14:textId="77777777" w:rsidR="00DA7A6F" w:rsidRPr="00E359DA" w:rsidRDefault="00DA7A6F" w:rsidP="004E01C7">
      <w:pPr>
        <w:pStyle w:val="Heading3"/>
        <w:ind w:left="540" w:hanging="540"/>
        <w:rPr>
          <w:lang w:val="es-ES_tradnl"/>
        </w:rPr>
      </w:pPr>
      <w:bookmarkStart w:id="19" w:name="_Toc532549549"/>
      <w:bookmarkStart w:id="20" w:name="_Toc5020342"/>
      <w:r>
        <w:rPr>
          <w:lang w:val="es-ES_tradnl"/>
        </w:rPr>
        <w:t>Pagos parciales recibidos en los procesos de Chañaral y Vallenar</w:t>
      </w:r>
      <w:bookmarkEnd w:id="19"/>
      <w:bookmarkEnd w:id="20"/>
    </w:p>
    <w:p w14:paraId="1785B90A" w14:textId="77777777" w:rsidR="00A94143" w:rsidRPr="00A94143" w:rsidRDefault="00A94143" w:rsidP="00A94143">
      <w:pPr>
        <w:rPr>
          <w:lang w:val="es-AR"/>
        </w:rPr>
      </w:pPr>
    </w:p>
    <w:p w14:paraId="001873F4" w14:textId="77777777" w:rsidR="004E01C7" w:rsidRDefault="00757062"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1C1DC7">
        <w:rPr>
          <w:rFonts w:ascii="Cambria" w:hAnsi="Cambria"/>
          <w:color w:val="auto"/>
          <w:sz w:val="20"/>
          <w:szCs w:val="20"/>
        </w:rPr>
        <w:t>Por otro lado, se realiza</w:t>
      </w:r>
      <w:r w:rsidR="00636A25">
        <w:rPr>
          <w:rFonts w:ascii="Cambria" w:hAnsi="Cambria"/>
          <w:color w:val="auto"/>
          <w:sz w:val="20"/>
          <w:szCs w:val="20"/>
        </w:rPr>
        <w:t>ron</w:t>
      </w:r>
      <w:r w:rsidRPr="001C1DC7">
        <w:rPr>
          <w:rFonts w:ascii="Cambria" w:hAnsi="Cambria"/>
          <w:color w:val="auto"/>
          <w:sz w:val="20"/>
          <w:szCs w:val="20"/>
        </w:rPr>
        <w:t xml:space="preserve"> pagos parciales a los profesores de las municipalidades de Chañaral y Vallenar en el año 2008. </w:t>
      </w:r>
      <w:r w:rsidR="00636A25">
        <w:rPr>
          <w:rFonts w:ascii="Cambria" w:hAnsi="Cambria"/>
          <w:color w:val="auto"/>
          <w:sz w:val="20"/>
          <w:szCs w:val="20"/>
        </w:rPr>
        <w:t xml:space="preserve">En ambos casos, las partes acordaron que los pagos tendrían una naturaleza de abono hacia el monto total adeudado, lo cual, según los acuerdos, es de responsabilidad de Estado de Chile.  </w:t>
      </w:r>
    </w:p>
    <w:p w14:paraId="4524F769" w14:textId="77777777" w:rsidR="004E01C7" w:rsidRDefault="004E01C7" w:rsidP="004E01C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auto"/>
          <w:sz w:val="20"/>
          <w:szCs w:val="20"/>
        </w:rPr>
      </w:pPr>
    </w:p>
    <w:p w14:paraId="36345196" w14:textId="77777777" w:rsidR="004E01C7" w:rsidRDefault="00D05E31"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auto"/>
          <w:sz w:val="20"/>
          <w:szCs w:val="20"/>
        </w:rPr>
        <w:t>El 28 de diciembre de 2007, se celebró un convenio de pago entre los profesores de Chañaral y la Municipalidad, por medio del cual la municipalidad se comprometió a pagar la suma de $350.000.000 a más tardar el 15 de enero de 2008; fecha que posteriormente fue prorrogada al 15 de marzo de 2008. Dicho convenio incluy</w:t>
      </w:r>
      <w:r w:rsidR="001C1DC7" w:rsidRPr="004E01C7">
        <w:rPr>
          <w:rFonts w:ascii="Cambria" w:hAnsi="Cambria"/>
          <w:color w:val="auto"/>
          <w:sz w:val="20"/>
          <w:szCs w:val="20"/>
        </w:rPr>
        <w:t xml:space="preserve">ó </w:t>
      </w:r>
      <w:r w:rsidR="001C1DC7" w:rsidRPr="004E01C7">
        <w:rPr>
          <w:rFonts w:ascii="Cambria" w:hAnsi="Cambria"/>
          <w:color w:val="000000" w:themeColor="text1"/>
          <w:sz w:val="20"/>
          <w:szCs w:val="20"/>
          <w:lang w:val="es-VE"/>
        </w:rPr>
        <w:t>una renuncia por parte de las y los profesores de su derecho de interponer demandas o embargos adicionales sobre los bienes de la Municipalidad para recuperar la deuda restante, pero “tan solo respecto del Municipio de Chañaral”; en este sentido, ambas partes reconocieron que “la obligación por todo el saldo adeudado es de responsabilidad del Fisco de Chile […] pudiendo perseguirse toda la deuda en contra del mismo, en atención a que corresponde al deudor originario que traspasó la obligación y no aportó los medios al ente municipal para solucionarlo”</w:t>
      </w:r>
      <w:r w:rsidR="001C1DC7">
        <w:rPr>
          <w:rStyle w:val="FootnoteReference"/>
          <w:rFonts w:ascii="Cambria" w:hAnsi="Cambria"/>
          <w:color w:val="000000" w:themeColor="text1"/>
          <w:sz w:val="20"/>
          <w:szCs w:val="20"/>
          <w:lang w:val="es-VE"/>
        </w:rPr>
        <w:footnoteReference w:id="56"/>
      </w:r>
      <w:r w:rsidR="001C1DC7" w:rsidRPr="004E01C7">
        <w:rPr>
          <w:rFonts w:ascii="Cambria" w:hAnsi="Cambria"/>
          <w:color w:val="000000" w:themeColor="text1"/>
          <w:sz w:val="20"/>
          <w:szCs w:val="20"/>
          <w:lang w:val="es-VE"/>
        </w:rPr>
        <w:t xml:space="preserve">. </w:t>
      </w:r>
    </w:p>
    <w:p w14:paraId="102AB1D3" w14:textId="77777777" w:rsidR="004E01C7" w:rsidRDefault="004E01C7" w:rsidP="004E01C7">
      <w:pPr>
        <w:pStyle w:val="ListParagraph"/>
        <w:rPr>
          <w:color w:val="000000" w:themeColor="text1"/>
          <w:sz w:val="20"/>
          <w:szCs w:val="20"/>
          <w:lang w:val="es-VE"/>
        </w:rPr>
      </w:pPr>
    </w:p>
    <w:p w14:paraId="50F4A652" w14:textId="77777777" w:rsidR="004E01C7" w:rsidRDefault="005B664A"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000000" w:themeColor="text1"/>
          <w:sz w:val="20"/>
          <w:szCs w:val="20"/>
          <w:lang w:val="es-VE"/>
        </w:rPr>
        <w:t>El 2 de junio de 2008, se pagó la suma acordada a los profesores; en el escrito, se reiteró que sin perjuicio del pago, “la obligación por todo el saldo adeudado, es de responsabilidad del Estado de Chile”, y se de</w:t>
      </w:r>
      <w:r w:rsidR="00B469C2" w:rsidRPr="004E01C7">
        <w:rPr>
          <w:rFonts w:ascii="Cambria" w:hAnsi="Cambria"/>
          <w:color w:val="000000" w:themeColor="text1"/>
          <w:sz w:val="20"/>
          <w:szCs w:val="20"/>
          <w:lang w:val="es-VE"/>
        </w:rPr>
        <w:t>j</w:t>
      </w:r>
      <w:r w:rsidRPr="004E01C7">
        <w:rPr>
          <w:rFonts w:ascii="Cambria" w:hAnsi="Cambria"/>
          <w:color w:val="000000" w:themeColor="text1"/>
          <w:sz w:val="20"/>
          <w:szCs w:val="20"/>
          <w:lang w:val="es-VE"/>
        </w:rPr>
        <w:t>ó constancia de que “dicha obligación es perseguida en la actualidad […] ante la [CIDH]”</w:t>
      </w:r>
      <w:r>
        <w:rPr>
          <w:rStyle w:val="FootnoteReference"/>
          <w:rFonts w:ascii="Cambria" w:hAnsi="Cambria"/>
          <w:color w:val="000000" w:themeColor="text1"/>
          <w:sz w:val="20"/>
          <w:szCs w:val="20"/>
          <w:lang w:val="es-VE"/>
        </w:rPr>
        <w:footnoteReference w:id="57"/>
      </w:r>
      <w:r w:rsidRPr="004E01C7">
        <w:rPr>
          <w:rFonts w:ascii="Cambria" w:hAnsi="Cambria"/>
          <w:color w:val="000000" w:themeColor="text1"/>
          <w:sz w:val="20"/>
          <w:szCs w:val="20"/>
          <w:lang w:val="es-VE"/>
        </w:rPr>
        <w:t xml:space="preserve">.  </w:t>
      </w:r>
    </w:p>
    <w:p w14:paraId="549D7A3E" w14:textId="77777777" w:rsidR="004E01C7" w:rsidRPr="004E01C7" w:rsidRDefault="004E01C7" w:rsidP="004E01C7">
      <w:pPr>
        <w:pStyle w:val="ListParagraph"/>
        <w:rPr>
          <w:color w:val="auto"/>
          <w:sz w:val="20"/>
          <w:szCs w:val="20"/>
          <w:lang w:val="es-VE"/>
        </w:rPr>
      </w:pPr>
    </w:p>
    <w:p w14:paraId="3867904A" w14:textId="77777777" w:rsidR="004E01C7" w:rsidRDefault="00636A25"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auto"/>
          <w:sz w:val="20"/>
          <w:szCs w:val="20"/>
        </w:rPr>
        <w:t xml:space="preserve">El 19 de enero de 2007, se celebró un convenio de pago entre los profesores de Vallenar y la Municipalidad, por medio del cual la municipalidad se comprometió a pagar la suma de $700.000.000 en un plazo no superior a 120 días contados a partir de la fecha de la firma del acuerdo. </w:t>
      </w:r>
      <w:r w:rsidR="00B469C2" w:rsidRPr="004E01C7">
        <w:rPr>
          <w:rFonts w:ascii="Cambria" w:hAnsi="Cambria"/>
          <w:color w:val="auto"/>
          <w:sz w:val="20"/>
          <w:szCs w:val="20"/>
        </w:rPr>
        <w:t xml:space="preserve">Dicho convenio incluyó </w:t>
      </w:r>
      <w:r w:rsidR="00B469C2" w:rsidRPr="004E01C7">
        <w:rPr>
          <w:rFonts w:ascii="Cambria" w:hAnsi="Cambria"/>
          <w:color w:val="000000" w:themeColor="text1"/>
          <w:sz w:val="20"/>
          <w:szCs w:val="20"/>
          <w:lang w:val="es-VE"/>
        </w:rPr>
        <w:t>una renuncia por parte de las y los profesores de su derecho de interponer demandas o embargos adicionales sobre los bienes de la Municipalidad para recuperar la deuda restante, pero “tan solo respecto del Municipio de Vallenar”; en este sentido, ambas partes reconocieron que “la obligación por todo el saldo adeudado es de responsabilidad del Fisco de Chile […] pudiendo perseguirse toda la deuda en contra del mismo, en atención a que corresponde al deudor originario que traspasó la obligación y no aportó los medios al ente municipal para solucionarlo”</w:t>
      </w:r>
      <w:r w:rsidR="00B469C2">
        <w:rPr>
          <w:rStyle w:val="FootnoteReference"/>
          <w:rFonts w:ascii="Cambria" w:hAnsi="Cambria"/>
          <w:color w:val="000000" w:themeColor="text1"/>
          <w:sz w:val="20"/>
          <w:szCs w:val="20"/>
          <w:lang w:val="es-VE"/>
        </w:rPr>
        <w:footnoteReference w:id="58"/>
      </w:r>
      <w:r w:rsidR="00B469C2" w:rsidRPr="004E01C7">
        <w:rPr>
          <w:rFonts w:ascii="Cambria" w:hAnsi="Cambria"/>
          <w:color w:val="000000" w:themeColor="text1"/>
          <w:sz w:val="20"/>
          <w:szCs w:val="20"/>
          <w:lang w:val="es-VE"/>
        </w:rPr>
        <w:t>.</w:t>
      </w:r>
      <w:r w:rsidR="00D8568C" w:rsidRPr="004E01C7">
        <w:rPr>
          <w:rFonts w:ascii="Cambria" w:hAnsi="Cambria"/>
          <w:color w:val="000000" w:themeColor="text1"/>
          <w:sz w:val="20"/>
          <w:szCs w:val="20"/>
          <w:lang w:val="es-VE"/>
        </w:rPr>
        <w:t xml:space="preserve"> Se registró el pago de esta suma mediante escrita de fecha 10 de mayo de 2007</w:t>
      </w:r>
      <w:r w:rsidR="00D8568C">
        <w:rPr>
          <w:rStyle w:val="FootnoteReference"/>
          <w:rFonts w:ascii="Cambria" w:hAnsi="Cambria"/>
          <w:color w:val="000000" w:themeColor="text1"/>
          <w:sz w:val="20"/>
          <w:szCs w:val="20"/>
          <w:lang w:val="es-VE"/>
        </w:rPr>
        <w:footnoteReference w:id="59"/>
      </w:r>
      <w:r w:rsidR="00D8568C" w:rsidRPr="004E01C7">
        <w:rPr>
          <w:rFonts w:ascii="Cambria" w:hAnsi="Cambria"/>
          <w:color w:val="000000" w:themeColor="text1"/>
          <w:sz w:val="20"/>
          <w:szCs w:val="20"/>
          <w:lang w:val="es-VE"/>
        </w:rPr>
        <w:t>.</w:t>
      </w:r>
    </w:p>
    <w:p w14:paraId="781732B5" w14:textId="77777777" w:rsidR="004E01C7" w:rsidRPr="004E01C7" w:rsidRDefault="004E01C7" w:rsidP="004E01C7">
      <w:pPr>
        <w:pStyle w:val="ListParagraph"/>
        <w:rPr>
          <w:color w:val="auto"/>
          <w:sz w:val="20"/>
          <w:szCs w:val="20"/>
          <w:lang w:val="es-VE"/>
        </w:rPr>
      </w:pPr>
    </w:p>
    <w:p w14:paraId="2D014310" w14:textId="77777777" w:rsidR="00B469C2" w:rsidRPr="004E01C7" w:rsidRDefault="00B469C2"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rPr>
      </w:pPr>
      <w:r w:rsidRPr="004E01C7">
        <w:rPr>
          <w:rFonts w:ascii="Cambria" w:hAnsi="Cambria"/>
          <w:color w:val="auto"/>
          <w:sz w:val="20"/>
          <w:szCs w:val="20"/>
        </w:rPr>
        <w:t>La parte peticionaria añadió que la naturaleza de abono de estos pagos parciales resulta manifiesta en cuanto las últimas liquidaciones de los montos adeudados aprobadas por los tribunales de Chañaral y Vallenar son de fechas 24 y 28 de noviembre de 2008, respectivamente; eso es, posteriores a los pagos parciales realizados por las municipalidades (</w:t>
      </w:r>
      <w:r w:rsidRPr="004E01C7">
        <w:rPr>
          <w:rFonts w:ascii="Cambria" w:hAnsi="Cambria"/>
          <w:i/>
          <w:color w:val="auto"/>
          <w:sz w:val="20"/>
          <w:szCs w:val="20"/>
        </w:rPr>
        <w:t xml:space="preserve">véase también supra </w:t>
      </w:r>
      <w:r w:rsidRPr="004E01C7">
        <w:rPr>
          <w:rFonts w:ascii="Cambria" w:hAnsi="Cambria"/>
          <w:color w:val="auto"/>
          <w:sz w:val="20"/>
          <w:szCs w:val="20"/>
        </w:rPr>
        <w:t>Tabla 1)</w:t>
      </w:r>
      <w:r>
        <w:rPr>
          <w:rStyle w:val="FootnoteReference"/>
          <w:rFonts w:ascii="Cambria" w:hAnsi="Cambria"/>
          <w:color w:val="auto"/>
          <w:sz w:val="20"/>
          <w:szCs w:val="20"/>
        </w:rPr>
        <w:footnoteReference w:id="60"/>
      </w:r>
      <w:r w:rsidRPr="004E01C7">
        <w:rPr>
          <w:rFonts w:ascii="Cambria" w:hAnsi="Cambria"/>
          <w:color w:val="auto"/>
          <w:sz w:val="20"/>
          <w:szCs w:val="20"/>
        </w:rPr>
        <w:t>. Asimismo, aclaró que los fondos pagados a los docentes fueron asignados a las municipalidades mediante un “convenio de anticipo de subvención estatal por escolaridad ley 20.159 con la Subsecretaría de Educación y la Subsecretaría de Desarrollo Regional y Administrativo” (SUBDERE)</w:t>
      </w:r>
      <w:r>
        <w:rPr>
          <w:rStyle w:val="FootnoteReference"/>
          <w:rFonts w:ascii="Cambria" w:hAnsi="Cambria"/>
          <w:color w:val="auto"/>
          <w:sz w:val="20"/>
          <w:szCs w:val="20"/>
        </w:rPr>
        <w:footnoteReference w:id="61"/>
      </w:r>
      <w:r w:rsidRPr="004E01C7">
        <w:rPr>
          <w:rFonts w:ascii="Cambria" w:hAnsi="Cambria"/>
          <w:color w:val="auto"/>
          <w:sz w:val="20"/>
          <w:szCs w:val="20"/>
        </w:rPr>
        <w:t>. Es decir, que “el pago a los profesores individualizados fue canalizado por el Gobierno Central a las Municipalidades respectivas con el objeto de poder subscribir los acuerdos indicados, instancia de transferencia de fondos que ha sido utilizado por el Estado de Chile en situaciones análogas para satisfacer las obligaciones de pago emanadas de las sentencias judiciales condenatorias”</w:t>
      </w:r>
      <w:r>
        <w:rPr>
          <w:rStyle w:val="FootnoteReference"/>
          <w:rFonts w:ascii="Cambria" w:hAnsi="Cambria"/>
          <w:color w:val="auto"/>
          <w:sz w:val="20"/>
          <w:szCs w:val="20"/>
        </w:rPr>
        <w:footnoteReference w:id="62"/>
      </w:r>
      <w:r w:rsidRPr="004E01C7">
        <w:rPr>
          <w:rFonts w:ascii="Cambria" w:hAnsi="Cambria"/>
          <w:color w:val="auto"/>
          <w:sz w:val="20"/>
          <w:szCs w:val="20"/>
        </w:rPr>
        <w:t xml:space="preserve">. </w:t>
      </w:r>
    </w:p>
    <w:p w14:paraId="247699A7" w14:textId="77777777" w:rsidR="00947168" w:rsidRPr="00E9397C" w:rsidRDefault="00947168" w:rsidP="0094716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eastAsia="Cambria" w:hAnsi="Cambria" w:cs="Cambria"/>
          <w:color w:val="auto"/>
          <w:sz w:val="20"/>
          <w:szCs w:val="20"/>
          <w:lang w:val="es-CO"/>
        </w:rPr>
      </w:pPr>
    </w:p>
    <w:p w14:paraId="74F1512A" w14:textId="77777777" w:rsidR="00947168" w:rsidRDefault="00947168" w:rsidP="004E01C7">
      <w:pPr>
        <w:pStyle w:val="Heading3"/>
        <w:ind w:left="540" w:hanging="540"/>
      </w:pPr>
      <w:bookmarkStart w:id="21" w:name="_Toc5020343"/>
      <w:r w:rsidRPr="004E01C7">
        <w:rPr>
          <w:lang w:val="es-ES_tradnl"/>
        </w:rPr>
        <w:t>Consideraciones</w:t>
      </w:r>
      <w:r>
        <w:t xml:space="preserve"> relevantes de la Organización Internacional del Trabajo</w:t>
      </w:r>
      <w:bookmarkEnd w:id="21"/>
    </w:p>
    <w:p w14:paraId="68C3AC9F" w14:textId="77777777" w:rsidR="00947168" w:rsidRDefault="00947168" w:rsidP="00947168"/>
    <w:p w14:paraId="35C22D0C" w14:textId="77777777" w:rsidR="00F76C93" w:rsidRDefault="00947168"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lang w:val="es-AR"/>
        </w:rPr>
      </w:pPr>
      <w:r w:rsidRPr="00DE49E0">
        <w:rPr>
          <w:rFonts w:ascii="Cambria" w:hAnsi="Cambria"/>
          <w:color w:val="auto"/>
          <w:sz w:val="20"/>
          <w:szCs w:val="20"/>
          <w:lang w:val="es-AR"/>
        </w:rPr>
        <w:t xml:space="preserve">Cabe anotar lo señalado por la OIT en su reciente consideración de la problemática </w:t>
      </w:r>
      <w:r w:rsidR="00975E9D">
        <w:rPr>
          <w:rFonts w:ascii="Cambria" w:hAnsi="Cambria"/>
          <w:color w:val="auto"/>
          <w:sz w:val="20"/>
          <w:szCs w:val="20"/>
          <w:lang w:val="es-AR"/>
        </w:rPr>
        <w:t xml:space="preserve">general </w:t>
      </w:r>
      <w:r w:rsidRPr="00DE49E0">
        <w:rPr>
          <w:rFonts w:ascii="Cambria" w:hAnsi="Cambria"/>
          <w:color w:val="auto"/>
          <w:sz w:val="20"/>
          <w:szCs w:val="20"/>
          <w:lang w:val="es-AR"/>
        </w:rPr>
        <w:t xml:space="preserve">de la “deuda histórica”: </w:t>
      </w:r>
    </w:p>
    <w:p w14:paraId="754704AA" w14:textId="77777777" w:rsidR="00F76C93" w:rsidRDefault="00F76C93" w:rsidP="00F76C9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auto"/>
          <w:sz w:val="20"/>
          <w:szCs w:val="20"/>
          <w:lang w:val="es-AR"/>
        </w:rPr>
      </w:pPr>
    </w:p>
    <w:p w14:paraId="408AEFC2" w14:textId="77777777" w:rsidR="00947168" w:rsidRDefault="00F76C93" w:rsidP="004E01C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571"/>
        <w:jc w:val="both"/>
        <w:rPr>
          <w:rFonts w:ascii="Cambria" w:hAnsi="Cambria"/>
          <w:color w:val="auto"/>
          <w:sz w:val="20"/>
          <w:szCs w:val="20"/>
          <w:lang w:val="es-AR"/>
        </w:rPr>
      </w:pPr>
      <w:r>
        <w:rPr>
          <w:sz w:val="20"/>
          <w:szCs w:val="20"/>
        </w:rPr>
        <w:t>C</w:t>
      </w:r>
      <w:r w:rsidR="00947168" w:rsidRPr="00DE49E0">
        <w:rPr>
          <w:sz w:val="20"/>
          <w:szCs w:val="20"/>
        </w:rPr>
        <w:t>abe destacar que la responsabilidad del Estado respecto al funcionamiento adecuado del sistema de seguridad social se extiende a todas las autoridades públicas pertinentes en todos los niveles de la administración del Estado, entre ellas, las municipalidades. El sistema de seguridad social es un bien público y, en ese sentido, la responsabilidad primordial permanecerá siempre a cargo de las autoridades públicas, centrales y locales. No obstante, un gobierno central no puede descentralizar su responsabilidad en manos de las 345 municipalidades autónomas del país, haciendo de ellas la única autoridad pública responsable de la seguridad social de los docentes que emplea. Tampoco puede desligarse de su responsabilidad y traspasar a los docentes empleados por el sector público al sector privado, sometiéndolos al sistema de pensiones de administración privada sobre la base de los ahorros individuales de los docentes”</w:t>
      </w:r>
      <w:r w:rsidR="00947168" w:rsidRPr="00DE49E0">
        <w:rPr>
          <w:rStyle w:val="FootnoteReference"/>
          <w:sz w:val="20"/>
          <w:szCs w:val="20"/>
        </w:rPr>
        <w:footnoteReference w:id="63"/>
      </w:r>
      <w:r w:rsidR="00947168">
        <w:rPr>
          <w:sz w:val="20"/>
          <w:szCs w:val="20"/>
        </w:rPr>
        <w:t>.</w:t>
      </w:r>
    </w:p>
    <w:p w14:paraId="2D1CC503" w14:textId="77777777" w:rsidR="002B0F40" w:rsidRPr="00522262" w:rsidRDefault="002B0F40" w:rsidP="00947168">
      <w:pPr>
        <w:rPr>
          <w:rFonts w:ascii="Cambria" w:eastAsia="Cambria" w:hAnsi="Cambria" w:cs="Cambria"/>
          <w:color w:val="auto"/>
          <w:sz w:val="20"/>
          <w:szCs w:val="20"/>
          <w:lang w:val="es-US"/>
        </w:rPr>
      </w:pPr>
    </w:p>
    <w:p w14:paraId="43BECE45" w14:textId="77777777" w:rsidR="00DF1902" w:rsidRDefault="00003E62"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color w:val="auto"/>
          <w:sz w:val="20"/>
          <w:szCs w:val="20"/>
        </w:rPr>
      </w:pPr>
      <w:r w:rsidRPr="00522262">
        <w:rPr>
          <w:color w:val="auto"/>
          <w:sz w:val="20"/>
          <w:szCs w:val="20"/>
          <w:lang w:val="es-US"/>
        </w:rPr>
        <w:t>Asimismo, la OIT indicó que “</w:t>
      </w:r>
      <w:r w:rsidR="00947168" w:rsidRPr="00522262">
        <w:rPr>
          <w:color w:val="auto"/>
          <w:sz w:val="20"/>
          <w:szCs w:val="20"/>
          <w:lang w:val="es-US"/>
        </w:rPr>
        <w:t>si bien se han utilizado ampliamente todos los mecanismos de reclamación y apelación, no se ha podido resolver la situación de incertidumbre jurídica relativa a las condiciones de remuneración y las cotizaciones a la seguridad social, que prevaleció durante todo el período posterior al traspaso de los docentes a las municipalidades</w:t>
      </w:r>
      <w:r w:rsidRPr="00522262">
        <w:rPr>
          <w:color w:val="auto"/>
          <w:sz w:val="20"/>
          <w:szCs w:val="20"/>
          <w:lang w:val="es-US"/>
        </w:rPr>
        <w:t>”</w:t>
      </w:r>
      <w:r w:rsidR="00947168" w:rsidRPr="00522262">
        <w:rPr>
          <w:rStyle w:val="FootnoteReference"/>
          <w:rFonts w:ascii="Cambria" w:hAnsi="Cambria"/>
          <w:color w:val="auto"/>
          <w:sz w:val="20"/>
          <w:szCs w:val="20"/>
        </w:rPr>
        <w:footnoteReference w:id="64"/>
      </w:r>
      <w:r w:rsidR="00947168" w:rsidRPr="00522262">
        <w:rPr>
          <w:color w:val="auto"/>
          <w:sz w:val="20"/>
          <w:szCs w:val="20"/>
        </w:rPr>
        <w:t>.</w:t>
      </w:r>
    </w:p>
    <w:p w14:paraId="09FC002A" w14:textId="77777777" w:rsidR="004E01C7" w:rsidRPr="004E01C7" w:rsidRDefault="004E01C7" w:rsidP="004E01C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color w:val="auto"/>
          <w:sz w:val="20"/>
          <w:szCs w:val="20"/>
        </w:rPr>
      </w:pPr>
    </w:p>
    <w:p w14:paraId="239F0F98" w14:textId="77777777" w:rsidR="00E359DA" w:rsidRDefault="00E359DA" w:rsidP="004E01C7">
      <w:pPr>
        <w:pStyle w:val="Heading1"/>
        <w:ind w:left="540" w:hanging="540"/>
      </w:pPr>
      <w:bookmarkStart w:id="22" w:name="_Toc532549550"/>
      <w:bookmarkStart w:id="23" w:name="_Toc5020344"/>
      <w:r w:rsidRPr="00E909AA">
        <w:t>ANÁLISIS DE DERECHO</w:t>
      </w:r>
      <w:bookmarkEnd w:id="22"/>
      <w:bookmarkEnd w:id="23"/>
    </w:p>
    <w:p w14:paraId="282606DF" w14:textId="77777777" w:rsidR="00E359DA" w:rsidRDefault="00E359DA" w:rsidP="00E359DA">
      <w:pPr>
        <w:suppressAutoHyphens/>
        <w:rPr>
          <w:b/>
          <w:sz w:val="20"/>
          <w:szCs w:val="20"/>
          <w:lang w:val="es-ES_tradnl"/>
        </w:rPr>
      </w:pPr>
    </w:p>
    <w:p w14:paraId="55E26BE2" w14:textId="77777777" w:rsidR="00E359DA" w:rsidRPr="00871889" w:rsidRDefault="00871889" w:rsidP="00144082">
      <w:pPr>
        <w:pStyle w:val="Heading2"/>
        <w:numPr>
          <w:ilvl w:val="0"/>
          <w:numId w:val="58"/>
        </w:numPr>
        <w:ind w:left="540" w:hanging="540"/>
        <w:jc w:val="both"/>
      </w:pPr>
      <w:bookmarkStart w:id="24" w:name="_Toc532549551"/>
      <w:bookmarkStart w:id="25" w:name="_Toc5020345"/>
      <w:r>
        <w:t>Cuesti</w:t>
      </w:r>
      <w:r w:rsidR="003F19FE">
        <w:t>ones</w:t>
      </w:r>
      <w:r w:rsidR="00AE439B">
        <w:t xml:space="preserve"> previa</w:t>
      </w:r>
      <w:r w:rsidR="003F19FE">
        <w:t>s</w:t>
      </w:r>
      <w:bookmarkEnd w:id="24"/>
      <w:bookmarkEnd w:id="25"/>
    </w:p>
    <w:p w14:paraId="6A5192E4" w14:textId="77777777" w:rsidR="00B95E39" w:rsidRDefault="00B95E39" w:rsidP="00B95E39">
      <w:pPr>
        <w:rPr>
          <w:lang w:val="es-ES_tradnl"/>
        </w:rPr>
      </w:pPr>
    </w:p>
    <w:p w14:paraId="567D3435" w14:textId="77777777" w:rsidR="004E01C7" w:rsidRDefault="007F0D9E"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Pr>
          <w:rFonts w:ascii="Cambria" w:hAnsi="Cambria"/>
          <w:sz w:val="20"/>
          <w:szCs w:val="20"/>
          <w:lang w:val="es-AR"/>
        </w:rPr>
        <w:t>En el presente caso, el Estado chileno presentó a modo de defensa varios argumentos relacionados con la correcta interpretación y aplicación de su derecho interno</w:t>
      </w:r>
      <w:r w:rsidR="00133617">
        <w:rPr>
          <w:rFonts w:ascii="Cambria" w:hAnsi="Cambria"/>
          <w:sz w:val="20"/>
          <w:szCs w:val="20"/>
          <w:lang w:val="es-AR"/>
        </w:rPr>
        <w:t xml:space="preserve">, los cuales llevarían a la conclusión de que la omisión de las municipalidades en pagar los montos adjudicados a favor de los docentes, no genera la responsabilidad internacional del Estado. En general, estos argumentos son: que las sentencias judiciales mismas llegan a conclusiones jurídicas incorrectas a la luz del derecho chileno (en cuanto se les condenaron a las municipalidades a pagar deudas por concepto de asignación previsional, cuando una interpretación correcta sería que son “de origen claramente patrimonial”, porque se trata de disputas respecto de </w:t>
      </w:r>
      <w:r w:rsidR="00133617">
        <w:rPr>
          <w:rFonts w:ascii="Cambria" w:hAnsi="Cambria"/>
          <w:color w:val="000000" w:themeColor="text1"/>
          <w:sz w:val="20"/>
          <w:szCs w:val="20"/>
          <w:lang w:val="es-VE"/>
        </w:rPr>
        <w:t>contratos laborales entre partes privadas); y que no existen normas internas que puedan obligar al Estado nacional a responder por (asignar fondos para el pago de) las deudas de las municipalidades con los profesores.</w:t>
      </w:r>
    </w:p>
    <w:p w14:paraId="1C48A701" w14:textId="77777777" w:rsidR="004E01C7" w:rsidRDefault="004E01C7" w:rsidP="004E01C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AR"/>
        </w:rPr>
      </w:pPr>
    </w:p>
    <w:p w14:paraId="2A3B8B5C" w14:textId="77777777" w:rsidR="004E01C7" w:rsidRDefault="00133617"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sidRPr="004E01C7">
        <w:rPr>
          <w:rFonts w:ascii="Cambria" w:hAnsi="Cambria"/>
          <w:color w:val="000000" w:themeColor="text1"/>
          <w:sz w:val="20"/>
          <w:szCs w:val="20"/>
          <w:lang w:val="es-AR"/>
        </w:rPr>
        <w:t>La CIDH aclara que el primero de estos argumentos,</w:t>
      </w:r>
      <w:r w:rsidR="00AF63FB" w:rsidRPr="004E01C7">
        <w:rPr>
          <w:rFonts w:ascii="Cambria" w:hAnsi="Cambria"/>
          <w:color w:val="000000" w:themeColor="text1"/>
          <w:sz w:val="20"/>
          <w:szCs w:val="20"/>
          <w:lang w:val="es-AR"/>
        </w:rPr>
        <w:t xml:space="preserve"> que las sentencias judiciales estarían equivocadas a la luz de la interpretación que el Estado nacional da al derecho interno,</w:t>
      </w:r>
      <w:r w:rsidRPr="004E01C7">
        <w:rPr>
          <w:rFonts w:ascii="Cambria" w:hAnsi="Cambria"/>
          <w:color w:val="000000" w:themeColor="text1"/>
          <w:sz w:val="20"/>
          <w:szCs w:val="20"/>
          <w:lang w:val="es-AR"/>
        </w:rPr>
        <w:t xml:space="preserve"> </w:t>
      </w:r>
      <w:r w:rsidR="00AF63FB" w:rsidRPr="004E01C7">
        <w:rPr>
          <w:rFonts w:ascii="Cambria" w:hAnsi="Cambria"/>
          <w:color w:val="000000" w:themeColor="text1"/>
          <w:sz w:val="20"/>
          <w:szCs w:val="20"/>
          <w:lang w:val="es-AR"/>
        </w:rPr>
        <w:t xml:space="preserve">pretende utilizar a la CIDH </w:t>
      </w:r>
      <w:r w:rsidR="00AB7951" w:rsidRPr="004E01C7">
        <w:rPr>
          <w:rFonts w:ascii="Cambria" w:hAnsi="Cambria"/>
          <w:color w:val="000000" w:themeColor="text1"/>
          <w:sz w:val="20"/>
          <w:szCs w:val="20"/>
          <w:lang w:val="es-AR"/>
        </w:rPr>
        <w:t xml:space="preserve">litigar nuevamente </w:t>
      </w:r>
      <w:r w:rsidR="00CB10EC" w:rsidRPr="004E01C7">
        <w:rPr>
          <w:rFonts w:ascii="Cambria" w:hAnsi="Cambria"/>
          <w:color w:val="000000" w:themeColor="text1"/>
          <w:sz w:val="20"/>
          <w:szCs w:val="20"/>
          <w:lang w:val="es-AR"/>
        </w:rPr>
        <w:t>cuestiones de derecho interno que ya fueron resueltas a nivel interno y</w:t>
      </w:r>
      <w:r w:rsidR="00AF63FB" w:rsidRPr="004E01C7">
        <w:rPr>
          <w:rFonts w:ascii="Cambria" w:hAnsi="Cambria"/>
          <w:color w:val="000000" w:themeColor="text1"/>
          <w:sz w:val="20"/>
          <w:szCs w:val="20"/>
          <w:lang w:val="es-AR"/>
        </w:rPr>
        <w:t xml:space="preserve"> con las cuales el Estado no está de acuerdo. Por esta razón, la CIDH no entrará a conocer estos </w:t>
      </w:r>
      <w:r w:rsidR="00EF6C39" w:rsidRPr="004E01C7">
        <w:rPr>
          <w:rFonts w:ascii="Cambria" w:hAnsi="Cambria"/>
          <w:color w:val="000000" w:themeColor="text1"/>
          <w:sz w:val="20"/>
          <w:szCs w:val="20"/>
          <w:lang w:val="es-AR"/>
        </w:rPr>
        <w:t>que apuntan a cu</w:t>
      </w:r>
      <w:r w:rsidR="00C64D18" w:rsidRPr="004E01C7">
        <w:rPr>
          <w:rFonts w:ascii="Cambria" w:hAnsi="Cambria"/>
          <w:color w:val="000000" w:themeColor="text1"/>
          <w:sz w:val="20"/>
          <w:szCs w:val="20"/>
          <w:lang w:val="es-AR"/>
        </w:rPr>
        <w:t>á</w:t>
      </w:r>
      <w:r w:rsidR="00EF6C39" w:rsidRPr="004E01C7">
        <w:rPr>
          <w:rFonts w:ascii="Cambria" w:hAnsi="Cambria"/>
          <w:color w:val="000000" w:themeColor="text1"/>
          <w:sz w:val="20"/>
          <w:szCs w:val="20"/>
          <w:lang w:val="es-AR"/>
        </w:rPr>
        <w:t xml:space="preserve">l </w:t>
      </w:r>
      <w:r w:rsidR="00EF6C39" w:rsidRPr="004E01C7">
        <w:rPr>
          <w:rFonts w:ascii="Cambria" w:hAnsi="Cambria"/>
          <w:color w:val="000000" w:themeColor="text1"/>
          <w:sz w:val="20"/>
          <w:szCs w:val="20"/>
          <w:lang w:val="es-CO"/>
        </w:rPr>
        <w:t xml:space="preserve">es la </w:t>
      </w:r>
      <w:r w:rsidR="00AF63FB" w:rsidRPr="004E01C7">
        <w:rPr>
          <w:rFonts w:ascii="Cambria" w:hAnsi="Cambria"/>
          <w:color w:val="000000" w:themeColor="text1"/>
          <w:sz w:val="20"/>
          <w:szCs w:val="20"/>
          <w:lang w:val="es-AR"/>
        </w:rPr>
        <w:t>correcta interpretación y aplicación de la normativa interna</w:t>
      </w:r>
      <w:r w:rsidR="00EF6C39" w:rsidRPr="004E01C7">
        <w:rPr>
          <w:rFonts w:ascii="Cambria" w:hAnsi="Cambria"/>
          <w:color w:val="000000" w:themeColor="text1"/>
          <w:sz w:val="20"/>
          <w:szCs w:val="20"/>
          <w:lang w:val="es-AR"/>
        </w:rPr>
        <w:t>, lo cual</w:t>
      </w:r>
      <w:r w:rsidR="007A528D" w:rsidRPr="004E01C7">
        <w:rPr>
          <w:rFonts w:ascii="Cambria" w:hAnsi="Cambria"/>
          <w:color w:val="000000" w:themeColor="text1"/>
          <w:sz w:val="20"/>
          <w:szCs w:val="20"/>
          <w:lang w:val="es-AR"/>
        </w:rPr>
        <w:t xml:space="preserve">, excede su competencia. En todo caso, la Comisión </w:t>
      </w:r>
      <w:r w:rsidR="00C64D18" w:rsidRPr="004E01C7">
        <w:rPr>
          <w:rFonts w:ascii="Cambria" w:hAnsi="Cambria"/>
          <w:color w:val="000000" w:themeColor="text1"/>
          <w:sz w:val="20"/>
          <w:szCs w:val="20"/>
          <w:lang w:val="es-AR"/>
        </w:rPr>
        <w:t>recuerda que desde la etapa de admisibilidad</w:t>
      </w:r>
      <w:r w:rsidR="00AF63FB" w:rsidRPr="004E01C7">
        <w:rPr>
          <w:rFonts w:ascii="Cambria" w:hAnsi="Cambria"/>
          <w:color w:val="000000" w:themeColor="text1"/>
          <w:sz w:val="20"/>
          <w:szCs w:val="20"/>
          <w:lang w:val="es-AR"/>
        </w:rPr>
        <w:t xml:space="preserve"> </w:t>
      </w:r>
      <w:r w:rsidR="00685E13" w:rsidRPr="004E01C7">
        <w:rPr>
          <w:rFonts w:ascii="Cambria" w:hAnsi="Cambria"/>
          <w:color w:val="000000" w:themeColor="text1"/>
          <w:sz w:val="20"/>
          <w:szCs w:val="20"/>
          <w:lang w:val="es-AR"/>
        </w:rPr>
        <w:t xml:space="preserve">se delimitó claramente que </w:t>
      </w:r>
      <w:r w:rsidR="000C7FBF" w:rsidRPr="004E01C7">
        <w:rPr>
          <w:rFonts w:ascii="Cambria" w:hAnsi="Cambria"/>
          <w:color w:val="000000" w:themeColor="text1"/>
          <w:sz w:val="20"/>
          <w:szCs w:val="20"/>
          <w:lang w:val="es-AR"/>
        </w:rPr>
        <w:t xml:space="preserve">el objeto del análisis de la CIDH en este informe </w:t>
      </w:r>
      <w:r w:rsidR="00685E13" w:rsidRPr="004E01C7">
        <w:rPr>
          <w:rFonts w:ascii="Cambria" w:hAnsi="Cambria"/>
          <w:color w:val="000000" w:themeColor="text1"/>
          <w:sz w:val="20"/>
          <w:szCs w:val="20"/>
          <w:lang w:val="es-AR"/>
        </w:rPr>
        <w:t xml:space="preserve">se acota a la </w:t>
      </w:r>
      <w:r w:rsidR="000C7FBF" w:rsidRPr="004E01C7">
        <w:rPr>
          <w:rFonts w:ascii="Cambria" w:hAnsi="Cambria"/>
          <w:color w:val="000000" w:themeColor="text1"/>
          <w:sz w:val="20"/>
          <w:szCs w:val="20"/>
          <w:lang w:val="es-AR"/>
        </w:rPr>
        <w:t xml:space="preserve">obligación del Estado de </w:t>
      </w:r>
      <w:r w:rsidR="00CB10EC" w:rsidRPr="004E01C7">
        <w:rPr>
          <w:rFonts w:ascii="Cambria" w:hAnsi="Cambria"/>
          <w:color w:val="000000" w:themeColor="text1"/>
          <w:sz w:val="20"/>
          <w:szCs w:val="20"/>
          <w:lang w:val="es-AR"/>
        </w:rPr>
        <w:t>asegurar la ejecución de fallos</w:t>
      </w:r>
      <w:r w:rsidR="00685E13" w:rsidRPr="004E01C7">
        <w:rPr>
          <w:rFonts w:ascii="Cambria" w:hAnsi="Cambria"/>
          <w:color w:val="000000" w:themeColor="text1"/>
          <w:sz w:val="20"/>
          <w:szCs w:val="20"/>
          <w:lang w:val="es-AR"/>
        </w:rPr>
        <w:t xml:space="preserve"> en firme</w:t>
      </w:r>
      <w:r w:rsidR="00CB10EC" w:rsidRPr="004E01C7">
        <w:rPr>
          <w:rFonts w:ascii="Cambria" w:hAnsi="Cambria"/>
          <w:color w:val="000000" w:themeColor="text1"/>
          <w:sz w:val="20"/>
          <w:szCs w:val="20"/>
          <w:lang w:val="es-AR"/>
        </w:rPr>
        <w:t xml:space="preserve"> de sus tribunales</w:t>
      </w:r>
      <w:r w:rsidR="00685E13" w:rsidRPr="004E01C7">
        <w:rPr>
          <w:rFonts w:ascii="Cambria" w:hAnsi="Cambria"/>
          <w:color w:val="000000" w:themeColor="text1"/>
          <w:sz w:val="20"/>
          <w:szCs w:val="20"/>
          <w:lang w:val="es-AR"/>
        </w:rPr>
        <w:t xml:space="preserve">, a la luz de las disposiciones pertinentes de la Convención Americana. </w:t>
      </w:r>
    </w:p>
    <w:p w14:paraId="495E1287" w14:textId="77777777" w:rsidR="004E01C7" w:rsidRDefault="004E01C7" w:rsidP="004E01C7">
      <w:pPr>
        <w:pStyle w:val="ListParagraph"/>
        <w:rPr>
          <w:sz w:val="20"/>
          <w:szCs w:val="20"/>
          <w:lang w:val="es-AR"/>
        </w:rPr>
      </w:pPr>
    </w:p>
    <w:p w14:paraId="38F9912C" w14:textId="77777777" w:rsidR="00763D18" w:rsidRPr="004E01C7" w:rsidRDefault="000B7280"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AR"/>
        </w:rPr>
      </w:pPr>
      <w:r w:rsidRPr="004E01C7">
        <w:rPr>
          <w:rFonts w:ascii="Cambria" w:hAnsi="Cambria"/>
          <w:sz w:val="20"/>
          <w:szCs w:val="20"/>
          <w:lang w:val="es-AR"/>
        </w:rPr>
        <w:t>En cuanto al segundo argumento, la Comisión recuerda que es un principio del derecho internacional que los Estados no pueden invocar cuestiones de derecho interno</w:t>
      </w:r>
      <w:r w:rsidR="000D4188" w:rsidRPr="004E01C7">
        <w:rPr>
          <w:rFonts w:ascii="Cambria" w:hAnsi="Cambria"/>
          <w:sz w:val="20"/>
          <w:szCs w:val="20"/>
          <w:lang w:val="es-AR"/>
        </w:rPr>
        <w:t xml:space="preserve"> para justificar el incumplimiento de sus obligaciones internacionales. En ese sentido, </w:t>
      </w:r>
      <w:r w:rsidR="00763D18" w:rsidRPr="004E01C7">
        <w:rPr>
          <w:rFonts w:ascii="Cambria" w:hAnsi="Cambria"/>
          <w:sz w:val="20"/>
          <w:szCs w:val="20"/>
          <w:lang w:val="es-AR"/>
        </w:rPr>
        <w:t xml:space="preserve">independientemente del estatus que se les asigna en el derecho interno, las municipalidades, tales como los estados, provincias, comunas y toda otra subdivisión del poder estatal, hacen parte del Estado para efectos de </w:t>
      </w:r>
      <w:r w:rsidR="00CF4152" w:rsidRPr="004E01C7">
        <w:rPr>
          <w:rFonts w:ascii="Cambria" w:hAnsi="Cambria"/>
          <w:sz w:val="20"/>
          <w:szCs w:val="20"/>
          <w:lang w:val="es-AR"/>
        </w:rPr>
        <w:t xml:space="preserve">la determinación de su </w:t>
      </w:r>
      <w:r w:rsidR="00763D18" w:rsidRPr="004E01C7">
        <w:rPr>
          <w:rFonts w:ascii="Cambria" w:hAnsi="Cambria"/>
          <w:sz w:val="20"/>
          <w:szCs w:val="20"/>
          <w:lang w:val="es-AR"/>
        </w:rPr>
        <w:t>responsabilidad internacional.</w:t>
      </w:r>
      <w:r w:rsidR="009C7B03" w:rsidRPr="004E01C7">
        <w:rPr>
          <w:rFonts w:ascii="Cambria" w:hAnsi="Cambria"/>
          <w:sz w:val="20"/>
          <w:szCs w:val="20"/>
          <w:lang w:val="es-AR"/>
        </w:rPr>
        <w:t xml:space="preserve"> Igualmente, la CIDH aclara que en casos relacionados con incumplimiento de fallos judiciales en firme, la posible responsabilidad internacional del Estado también se compromet</w:t>
      </w:r>
      <w:r w:rsidR="006306EB" w:rsidRPr="004E01C7">
        <w:rPr>
          <w:rFonts w:ascii="Cambria" w:hAnsi="Cambria"/>
          <w:sz w:val="20"/>
          <w:szCs w:val="20"/>
          <w:lang w:val="es-AR"/>
        </w:rPr>
        <w:t xml:space="preserve">e, además de la entidad pública que desacata el fallo, por la ineficacia del Poder Judicial para hacer cumplir sus fallos. </w:t>
      </w:r>
      <w:r w:rsidR="00763D18" w:rsidRPr="004E01C7">
        <w:rPr>
          <w:rFonts w:ascii="Cambria" w:hAnsi="Cambria"/>
          <w:sz w:val="20"/>
          <w:szCs w:val="20"/>
          <w:highlight w:val="yellow"/>
          <w:lang w:val="es-AR"/>
        </w:rPr>
        <w:t xml:space="preserve"> </w:t>
      </w:r>
    </w:p>
    <w:p w14:paraId="59430D70" w14:textId="77777777" w:rsidR="00CD22BA" w:rsidRDefault="00CD22BA" w:rsidP="00CD22B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mbria" w:hAnsi="Cambria" w:cs="Cambria"/>
          <w:sz w:val="20"/>
          <w:szCs w:val="20"/>
          <w:lang w:val="es-AR"/>
        </w:rPr>
      </w:pPr>
    </w:p>
    <w:p w14:paraId="7C677453" w14:textId="77777777" w:rsidR="00CD22BA" w:rsidRPr="00CD22BA" w:rsidRDefault="00CD22BA" w:rsidP="00144082">
      <w:pPr>
        <w:pStyle w:val="Heading2"/>
        <w:numPr>
          <w:ilvl w:val="0"/>
          <w:numId w:val="58"/>
        </w:numPr>
        <w:ind w:left="630" w:hanging="630"/>
        <w:jc w:val="both"/>
        <w:rPr>
          <w:lang w:val="es-ES"/>
        </w:rPr>
      </w:pPr>
      <w:bookmarkStart w:id="26" w:name="_Toc5020346"/>
      <w:r w:rsidRPr="00CD22BA">
        <w:rPr>
          <w:lang w:val="es-ES"/>
        </w:rPr>
        <w:t>Derechos a las garantías judiciales, propiedad privada y protección judicial (artículos 8.1</w:t>
      </w:r>
      <w:r w:rsidRPr="00CD22BA">
        <w:rPr>
          <w:rStyle w:val="FootnoteReference"/>
          <w:lang w:val="es-ES"/>
        </w:rPr>
        <w:footnoteReference w:id="65"/>
      </w:r>
      <w:r w:rsidRPr="00CD22BA">
        <w:rPr>
          <w:lang w:val="es-ES"/>
        </w:rPr>
        <w:t>, 21.1</w:t>
      </w:r>
      <w:r w:rsidRPr="00CD22BA">
        <w:rPr>
          <w:rStyle w:val="FootnoteReference"/>
          <w:lang w:val="es-ES"/>
        </w:rPr>
        <w:footnoteReference w:id="66"/>
      </w:r>
      <w:r w:rsidRPr="00CD22BA">
        <w:rPr>
          <w:lang w:val="es-ES"/>
        </w:rPr>
        <w:t xml:space="preserve"> y 25.2.c)</w:t>
      </w:r>
      <w:r w:rsidRPr="00CD22BA">
        <w:rPr>
          <w:rStyle w:val="FootnoteReference"/>
          <w:lang w:val="es-ES"/>
        </w:rPr>
        <w:footnoteReference w:id="67"/>
      </w:r>
      <w:r w:rsidRPr="00CD22BA">
        <w:rPr>
          <w:lang w:val="es-ES"/>
        </w:rPr>
        <w:t xml:space="preserve"> de la Convención Americana, en relación con </w:t>
      </w:r>
      <w:r w:rsidR="00413689">
        <w:rPr>
          <w:lang w:val="es-ES"/>
        </w:rPr>
        <w:t>los</w:t>
      </w:r>
      <w:r w:rsidRPr="00CD22BA">
        <w:rPr>
          <w:lang w:val="es-ES"/>
        </w:rPr>
        <w:t xml:space="preserve"> artículo</w:t>
      </w:r>
      <w:r w:rsidR="00413689">
        <w:rPr>
          <w:lang w:val="es-ES"/>
        </w:rPr>
        <w:t>s</w:t>
      </w:r>
      <w:r w:rsidRPr="00CD22BA">
        <w:rPr>
          <w:lang w:val="es-ES"/>
        </w:rPr>
        <w:t xml:space="preserve"> 1.1 </w:t>
      </w:r>
      <w:r w:rsidR="00413689">
        <w:rPr>
          <w:lang w:val="es-ES"/>
        </w:rPr>
        <w:t>y 2</w:t>
      </w:r>
      <w:r w:rsidR="00BE2E12">
        <w:rPr>
          <w:lang w:val="es-ES"/>
        </w:rPr>
        <w:t xml:space="preserve"> </w:t>
      </w:r>
      <w:r w:rsidRPr="00CD22BA">
        <w:rPr>
          <w:lang w:val="es-ES"/>
        </w:rPr>
        <w:t>del mismo instrumento)</w:t>
      </w:r>
      <w:bookmarkEnd w:id="26"/>
    </w:p>
    <w:p w14:paraId="27E690E9" w14:textId="77777777" w:rsidR="00CD22BA" w:rsidRPr="00660E83" w:rsidRDefault="00CD22BA" w:rsidP="00CD22BA">
      <w:pPr>
        <w:rPr>
          <w:b/>
          <w:sz w:val="20"/>
          <w:szCs w:val="20"/>
        </w:rPr>
      </w:pPr>
    </w:p>
    <w:p w14:paraId="5351FEC1" w14:textId="77777777" w:rsidR="00CD22BA" w:rsidRPr="004E01C7" w:rsidRDefault="00CD22BA" w:rsidP="00144082">
      <w:pPr>
        <w:pStyle w:val="Heading3"/>
        <w:numPr>
          <w:ilvl w:val="0"/>
          <w:numId w:val="61"/>
        </w:numPr>
        <w:ind w:left="630" w:hanging="630"/>
        <w:rPr>
          <w:rFonts w:asciiTheme="majorHAnsi" w:hAnsiTheme="majorHAnsi"/>
        </w:rPr>
      </w:pPr>
      <w:bookmarkStart w:id="27" w:name="_Toc5020347"/>
      <w:r w:rsidRPr="004E01C7">
        <w:rPr>
          <w:rFonts w:asciiTheme="majorHAnsi" w:hAnsiTheme="majorHAnsi"/>
        </w:rPr>
        <w:t>Consideraciones generales sobre la tutela judicial efectiva y el cumplimiento de los fallos internos</w:t>
      </w:r>
      <w:bookmarkEnd w:id="27"/>
    </w:p>
    <w:p w14:paraId="0BA7103A" w14:textId="77777777" w:rsidR="00CD22BA" w:rsidRPr="00660E83" w:rsidRDefault="00CD22BA" w:rsidP="00CD22BA">
      <w:pPr>
        <w:rPr>
          <w:b/>
          <w:sz w:val="20"/>
          <w:szCs w:val="20"/>
        </w:rPr>
      </w:pPr>
    </w:p>
    <w:p w14:paraId="232639F1" w14:textId="77777777" w:rsidR="004E01C7" w:rsidRDefault="00CD22BA"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sz w:val="20"/>
          <w:szCs w:val="20"/>
        </w:rPr>
      </w:pPr>
      <w:r w:rsidRPr="00B42AC9">
        <w:rPr>
          <w:sz w:val="20"/>
          <w:szCs w:val="20"/>
        </w:rPr>
        <w:t xml:space="preserve">La Corte </w:t>
      </w:r>
      <w:r w:rsidRPr="001E75AD">
        <w:rPr>
          <w:color w:val="auto"/>
          <w:sz w:val="20"/>
          <w:szCs w:val="20"/>
          <w:lang w:val="es-AR"/>
        </w:rPr>
        <w:t>Interamericana</w:t>
      </w:r>
      <w:r w:rsidRPr="00B42AC9">
        <w:rPr>
          <w:sz w:val="20"/>
          <w:szCs w:val="20"/>
        </w:rPr>
        <w:t xml:space="preserve"> ha señalado que uno de los componentes del derecho a la protección judicial, establecido en el artículo 25 de la Convención Americana, es que los Estados “garanti</w:t>
      </w:r>
      <w:r w:rsidRPr="00B42AC9">
        <w:rPr>
          <w:rFonts w:cs="Arial"/>
          <w:sz w:val="20"/>
          <w:szCs w:val="20"/>
        </w:rPr>
        <w:t>[cen]</w:t>
      </w:r>
      <w:r w:rsidRPr="00B42AC9">
        <w:rPr>
          <w:sz w:val="20"/>
          <w:szCs w:val="20"/>
        </w:rPr>
        <w:t xml:space="preserve"> los medios para ejecutar las respectivas decisiones y sentencias definitivas emitidas por (…) autoridades competentes</w:t>
      </w:r>
      <w:r w:rsidRPr="00B42AC9">
        <w:rPr>
          <w:sz w:val="20"/>
          <w:szCs w:val="20"/>
          <w:vertAlign w:val="superscript"/>
        </w:rPr>
        <w:footnoteReference w:id="68"/>
      </w:r>
      <w:r w:rsidRPr="00B42AC9">
        <w:rPr>
          <w:sz w:val="20"/>
          <w:szCs w:val="20"/>
        </w:rPr>
        <w:t>”. Ello a efectos de que se protejan efectivamente los derechos declarados o reconocidos frente a actos que violen los derechos fundamentales</w:t>
      </w:r>
      <w:r w:rsidRPr="00B42AC9">
        <w:rPr>
          <w:rStyle w:val="FootnoteReference"/>
          <w:sz w:val="20"/>
          <w:szCs w:val="20"/>
        </w:rPr>
        <w:footnoteReference w:id="69"/>
      </w:r>
      <w:r w:rsidRPr="00B42AC9">
        <w:rPr>
          <w:sz w:val="20"/>
          <w:szCs w:val="20"/>
        </w:rPr>
        <w:t>. Por su parte, la CIDH ha sostenido que “para que el Poder Judicial pueda servir de manera efectiva como órgano de control, garantía y protección de los derechos humanos, no sólo se requiere que éste exista de manera formal, sino que además sea independiente, imparcial y que sus sentencias sean cumplidas”</w:t>
      </w:r>
      <w:r w:rsidRPr="00B42AC9">
        <w:rPr>
          <w:rStyle w:val="FootnoteReference"/>
          <w:sz w:val="20"/>
          <w:szCs w:val="20"/>
        </w:rPr>
        <w:footnoteReference w:id="70"/>
      </w:r>
      <w:r w:rsidRPr="00B42AC9">
        <w:rPr>
          <w:sz w:val="20"/>
          <w:szCs w:val="20"/>
        </w:rPr>
        <w:t>.</w:t>
      </w:r>
    </w:p>
    <w:p w14:paraId="0C89A739" w14:textId="77777777" w:rsidR="004E01C7" w:rsidRDefault="004E01C7" w:rsidP="004E01C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sz w:val="20"/>
          <w:szCs w:val="20"/>
        </w:rPr>
      </w:pPr>
    </w:p>
    <w:p w14:paraId="17E0F2ED" w14:textId="77777777" w:rsidR="004E01C7" w:rsidRDefault="00CD22BA"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sz w:val="20"/>
          <w:szCs w:val="20"/>
        </w:rPr>
      </w:pPr>
      <w:r w:rsidRPr="004E01C7">
        <w:rPr>
          <w:sz w:val="20"/>
          <w:szCs w:val="20"/>
        </w:rPr>
        <w:t>En ese sentido, la efectividad de las sentencias depende de su ejecución</w:t>
      </w:r>
      <w:r w:rsidRPr="00B42AC9">
        <w:rPr>
          <w:rStyle w:val="FootnoteReference"/>
          <w:sz w:val="20"/>
          <w:szCs w:val="20"/>
        </w:rPr>
        <w:footnoteReference w:id="71"/>
      </w:r>
      <w:r w:rsidRPr="004E01C7">
        <w:rPr>
          <w:sz w:val="20"/>
          <w:szCs w:val="20"/>
        </w:rPr>
        <w:t>. Lo contrario supone la negación misma del derecho involucrado</w:t>
      </w:r>
      <w:r w:rsidRPr="00B42AC9">
        <w:rPr>
          <w:vertAlign w:val="superscript"/>
        </w:rPr>
        <w:footnoteReference w:id="72"/>
      </w:r>
      <w:r w:rsidRPr="004E01C7">
        <w:rPr>
          <w:sz w:val="20"/>
          <w:szCs w:val="20"/>
        </w:rPr>
        <w:t>. La CIDH ha sostenido que las decisiones judiciales deben ser cumplidas, ya sea de forma voluntaria o de manera coercitiva de ser necesario</w:t>
      </w:r>
      <w:r w:rsidRPr="00B42AC9">
        <w:rPr>
          <w:rStyle w:val="FootnoteReference"/>
          <w:sz w:val="20"/>
          <w:szCs w:val="20"/>
        </w:rPr>
        <w:footnoteReference w:id="73"/>
      </w:r>
      <w:r w:rsidRPr="004E01C7">
        <w:rPr>
          <w:sz w:val="20"/>
          <w:szCs w:val="20"/>
        </w:rPr>
        <w:t xml:space="preserve">. Asimismo, la Corte ha resaltado que la ejecución de las sentencias debe ser regida por aquellos estándares específicos que permitan hacer efectivos los principios, </w:t>
      </w:r>
      <w:r w:rsidRPr="004E01C7">
        <w:rPr>
          <w:i/>
          <w:iCs/>
          <w:sz w:val="20"/>
          <w:szCs w:val="20"/>
        </w:rPr>
        <w:t>inter alia,</w:t>
      </w:r>
      <w:r w:rsidRPr="004E01C7">
        <w:rPr>
          <w:sz w:val="20"/>
          <w:szCs w:val="20"/>
        </w:rPr>
        <w:t xml:space="preserve"> de tutela judicial, debido proceso, seguridad jurídica, independencia judicial y estado de derecho</w:t>
      </w:r>
      <w:r w:rsidRPr="00B42AC9">
        <w:rPr>
          <w:rStyle w:val="FootnoteReference"/>
          <w:sz w:val="20"/>
          <w:szCs w:val="20"/>
        </w:rPr>
        <w:footnoteReference w:id="74"/>
      </w:r>
      <w:r w:rsidRPr="004E01C7">
        <w:rPr>
          <w:sz w:val="20"/>
          <w:szCs w:val="20"/>
        </w:rPr>
        <w:t>. En ese sentido, el principio de tutela judicial efectiva requiere que los procedimientos de ejecución sean accesibles para las partes, sin obstáculos o demoras indebidas, a fin de que alcancen su objetivo de manera rápida, sencilla e integral</w:t>
      </w:r>
      <w:r w:rsidRPr="00B42AC9">
        <w:rPr>
          <w:vertAlign w:val="superscript"/>
        </w:rPr>
        <w:footnoteReference w:id="75"/>
      </w:r>
      <w:r w:rsidRPr="004E01C7">
        <w:rPr>
          <w:sz w:val="20"/>
          <w:szCs w:val="20"/>
        </w:rPr>
        <w:t xml:space="preserve">. </w:t>
      </w:r>
    </w:p>
    <w:p w14:paraId="2BD430EF" w14:textId="77777777" w:rsidR="004E01C7" w:rsidRPr="004E01C7" w:rsidRDefault="004E01C7" w:rsidP="004E01C7">
      <w:pPr>
        <w:pStyle w:val="ListParagraph"/>
        <w:rPr>
          <w:sz w:val="20"/>
          <w:szCs w:val="20"/>
          <w:lang w:val="es-VE"/>
        </w:rPr>
      </w:pPr>
    </w:p>
    <w:p w14:paraId="06661B91" w14:textId="77777777" w:rsidR="004E01C7" w:rsidRDefault="00CD22BA"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sz w:val="20"/>
          <w:szCs w:val="20"/>
        </w:rPr>
      </w:pPr>
      <w:r w:rsidRPr="004E01C7">
        <w:rPr>
          <w:sz w:val="20"/>
          <w:szCs w:val="20"/>
        </w:rPr>
        <w:t>Por su parte, la Corte Europea de Derechos Humanos ha sostenido que para lograr plenamente la efectividad de la sentencia la ejecución debe ser completa, perfecta, integral</w:t>
      </w:r>
      <w:r w:rsidRPr="00B42AC9">
        <w:rPr>
          <w:rStyle w:val="FootnoteReference"/>
          <w:sz w:val="20"/>
          <w:szCs w:val="20"/>
        </w:rPr>
        <w:footnoteReference w:id="76"/>
      </w:r>
      <w:r w:rsidRPr="004E01C7">
        <w:rPr>
          <w:sz w:val="20"/>
          <w:szCs w:val="20"/>
        </w:rPr>
        <w:t xml:space="preserve"> y sin demora</w:t>
      </w:r>
      <w:r w:rsidRPr="00B42AC9">
        <w:rPr>
          <w:rStyle w:val="FootnoteReference"/>
          <w:sz w:val="20"/>
          <w:szCs w:val="20"/>
        </w:rPr>
        <w:footnoteReference w:id="77"/>
      </w:r>
      <w:r w:rsidRPr="004E01C7">
        <w:rPr>
          <w:sz w:val="20"/>
          <w:szCs w:val="20"/>
        </w:rPr>
        <w:t>. Es por ello que las disposiciones que rigen la independencia del orden jurisdiccional deben estar formuladas de manera idónea para asegurar la puntual ejecución de las sentencias sin que exista interferencia por los otros poderes del Estado y garantizar el carácter vinculante y obligatorio de las decisiones de última instancia</w:t>
      </w:r>
      <w:r w:rsidRPr="00B42AC9">
        <w:rPr>
          <w:vertAlign w:val="superscript"/>
        </w:rPr>
        <w:footnoteReference w:id="78"/>
      </w:r>
      <w:r w:rsidRPr="004E01C7">
        <w:rPr>
          <w:sz w:val="20"/>
          <w:szCs w:val="20"/>
        </w:rPr>
        <w:t>.</w:t>
      </w:r>
    </w:p>
    <w:p w14:paraId="163C3BE1" w14:textId="77777777" w:rsidR="004E01C7" w:rsidRDefault="004E01C7" w:rsidP="004E01C7">
      <w:pPr>
        <w:pStyle w:val="ListParagraph"/>
        <w:rPr>
          <w:sz w:val="20"/>
          <w:szCs w:val="20"/>
          <w:lang w:val="es-CO"/>
        </w:rPr>
      </w:pPr>
    </w:p>
    <w:p w14:paraId="1FD1F50A" w14:textId="77777777" w:rsidR="00CD22BA" w:rsidRPr="004E01C7" w:rsidRDefault="00CD22BA"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sz w:val="20"/>
          <w:szCs w:val="20"/>
        </w:rPr>
      </w:pPr>
      <w:r w:rsidRPr="004E01C7">
        <w:rPr>
          <w:sz w:val="20"/>
          <w:szCs w:val="20"/>
          <w:lang w:val="es-CO"/>
        </w:rPr>
        <w:t>La Corte Interamericana ha sostenido que en un ordenamiento basado sobre el principio del Estado de Derecho todas las autoridades públicas, dentro del marco de su competencia, deben atender las decisiones judiciales, así como dar impulso y ejecución a las mismas sin obstaculizar el sentido y alcance de la decisión ni retrasar indebidamente su ejecución</w:t>
      </w:r>
      <w:r w:rsidRPr="00A06A5E">
        <w:rPr>
          <w:vertAlign w:val="superscript"/>
        </w:rPr>
        <w:footnoteReference w:id="79"/>
      </w:r>
      <w:r w:rsidRPr="004E01C7">
        <w:rPr>
          <w:sz w:val="20"/>
          <w:szCs w:val="20"/>
          <w:lang w:val="es-CO"/>
        </w:rPr>
        <w:t>. En el mismo, sentido, la CIDH resaltó que “lograr la ejecución de las sentencias judiciales constituye así un aspecto fundamental a la esencia misma del Estado de derecho”</w:t>
      </w:r>
      <w:r w:rsidRPr="00B42AC9">
        <w:rPr>
          <w:rStyle w:val="FootnoteReference"/>
          <w:sz w:val="20"/>
          <w:szCs w:val="20"/>
        </w:rPr>
        <w:footnoteReference w:id="80"/>
      </w:r>
      <w:r w:rsidRPr="004E01C7">
        <w:rPr>
          <w:sz w:val="20"/>
          <w:szCs w:val="20"/>
          <w:lang w:val="es-CO"/>
        </w:rPr>
        <w:t>.</w:t>
      </w:r>
    </w:p>
    <w:p w14:paraId="54B2535A" w14:textId="77777777" w:rsidR="006A23A4" w:rsidRPr="006A23A4" w:rsidRDefault="006A23A4" w:rsidP="006A23A4">
      <w:pPr>
        <w:pStyle w:val="ListParagraph"/>
        <w:rPr>
          <w:sz w:val="20"/>
          <w:szCs w:val="20"/>
          <w:lang w:val="es-ES"/>
        </w:rPr>
      </w:pPr>
    </w:p>
    <w:p w14:paraId="583491EA" w14:textId="77777777" w:rsidR="006A23A4" w:rsidRPr="004E01C7" w:rsidRDefault="006A23A4" w:rsidP="00144082">
      <w:pPr>
        <w:pStyle w:val="Heading3"/>
        <w:numPr>
          <w:ilvl w:val="0"/>
          <w:numId w:val="61"/>
        </w:numPr>
        <w:ind w:left="630" w:hanging="630"/>
      </w:pPr>
      <w:bookmarkStart w:id="28" w:name="_Toc5020348"/>
      <w:r w:rsidRPr="004E01C7">
        <w:t>Análisis del presente caso</w:t>
      </w:r>
      <w:bookmarkEnd w:id="28"/>
      <w:r w:rsidRPr="004E01C7">
        <w:t xml:space="preserve"> </w:t>
      </w:r>
    </w:p>
    <w:p w14:paraId="73CE9F43" w14:textId="77777777" w:rsidR="00E359DA" w:rsidRPr="00CF4152" w:rsidRDefault="00E359DA" w:rsidP="00871889">
      <w:pPr>
        <w:pStyle w:val="ListParagraph"/>
        <w:ind w:left="1440" w:hanging="720"/>
        <w:jc w:val="both"/>
        <w:rPr>
          <w:rFonts w:asciiTheme="majorHAnsi" w:hAnsiTheme="majorHAnsi"/>
          <w:b/>
          <w:color w:val="FF0000"/>
          <w:sz w:val="20"/>
          <w:szCs w:val="20"/>
          <w:lang w:val="es-AR"/>
        </w:rPr>
      </w:pPr>
    </w:p>
    <w:p w14:paraId="58C0C4B3" w14:textId="77777777" w:rsidR="004E01C7" w:rsidRDefault="00254597"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lang w:val="es-AR"/>
        </w:rPr>
      </w:pPr>
      <w:r w:rsidRPr="00E359DA">
        <w:rPr>
          <w:rFonts w:ascii="Cambria" w:hAnsi="Cambria"/>
          <w:sz w:val="20"/>
          <w:szCs w:val="20"/>
          <w:lang w:val="es-ES_tradnl"/>
        </w:rPr>
        <w:t xml:space="preserve"> </w:t>
      </w:r>
      <w:r w:rsidR="00A77DA7" w:rsidRPr="00BC7692">
        <w:rPr>
          <w:rFonts w:ascii="Cambria" w:hAnsi="Cambria"/>
          <w:color w:val="auto"/>
          <w:sz w:val="20"/>
          <w:szCs w:val="20"/>
          <w:lang w:val="es-AR"/>
        </w:rPr>
        <w:t xml:space="preserve">En el presente caso, no existe controversia entre las partes respecto de la existencia de </w:t>
      </w:r>
      <w:r w:rsidR="00A604E8">
        <w:rPr>
          <w:rFonts w:ascii="Cambria" w:hAnsi="Cambria"/>
          <w:color w:val="auto"/>
          <w:sz w:val="20"/>
          <w:szCs w:val="20"/>
          <w:lang w:val="es-AR"/>
        </w:rPr>
        <w:t xml:space="preserve">13 sentencias en firme que reconoce el derecho </w:t>
      </w:r>
      <w:r w:rsidR="00A77DA7">
        <w:rPr>
          <w:rFonts w:ascii="Cambria" w:hAnsi="Cambria"/>
          <w:color w:val="auto"/>
          <w:sz w:val="20"/>
          <w:szCs w:val="20"/>
          <w:lang w:val="es-AR"/>
        </w:rPr>
        <w:t xml:space="preserve">de las 848 presuntas víctimas </w:t>
      </w:r>
      <w:r w:rsidR="00A604E8">
        <w:rPr>
          <w:rFonts w:ascii="Cambria" w:hAnsi="Cambria"/>
          <w:color w:val="auto"/>
          <w:sz w:val="20"/>
          <w:szCs w:val="20"/>
          <w:lang w:val="es-AR"/>
        </w:rPr>
        <w:t>a percibir</w:t>
      </w:r>
      <w:r w:rsidR="005E42DA">
        <w:rPr>
          <w:rFonts w:ascii="Cambria" w:hAnsi="Cambria"/>
          <w:color w:val="auto"/>
          <w:sz w:val="20"/>
          <w:szCs w:val="20"/>
          <w:lang w:val="es-AR"/>
        </w:rPr>
        <w:t xml:space="preserve"> los montos derivados de las asignaciones especiales que les correspondían y que fueron dejadas de pagar por parte de las municipalidades.</w:t>
      </w:r>
      <w:r w:rsidR="00E70788">
        <w:rPr>
          <w:rFonts w:ascii="Cambria" w:hAnsi="Cambria"/>
          <w:color w:val="auto"/>
          <w:sz w:val="20"/>
          <w:szCs w:val="20"/>
          <w:lang w:val="es-AR"/>
        </w:rPr>
        <w:t xml:space="preserve"> Tampoco existe controversia en cuanto a que estas decisiones no han sido cumplidas.</w:t>
      </w:r>
      <w:r w:rsidR="005E42DA">
        <w:rPr>
          <w:rFonts w:ascii="Cambria" w:hAnsi="Cambria"/>
          <w:color w:val="auto"/>
          <w:sz w:val="20"/>
          <w:szCs w:val="20"/>
          <w:lang w:val="es-AR"/>
        </w:rPr>
        <w:t xml:space="preserve"> La Comisión considera pertinente referirse, en primer lugar, al alegato del Estado conforme al cual</w:t>
      </w:r>
      <w:r w:rsidR="00833DAB">
        <w:rPr>
          <w:rFonts w:ascii="Cambria" w:hAnsi="Cambria"/>
          <w:color w:val="auto"/>
          <w:sz w:val="20"/>
          <w:szCs w:val="20"/>
          <w:lang w:val="es-AR"/>
        </w:rPr>
        <w:t xml:space="preserve"> </w:t>
      </w:r>
      <w:r w:rsidR="00A77DA7">
        <w:rPr>
          <w:rFonts w:ascii="Cambria" w:hAnsi="Cambria"/>
          <w:color w:val="auto"/>
          <w:sz w:val="20"/>
          <w:szCs w:val="20"/>
          <w:lang w:val="es-AR"/>
        </w:rPr>
        <w:t>el reconocimiento de</w:t>
      </w:r>
      <w:r w:rsidR="00833DAB">
        <w:rPr>
          <w:rFonts w:ascii="Cambria" w:hAnsi="Cambria"/>
          <w:color w:val="auto"/>
          <w:sz w:val="20"/>
          <w:szCs w:val="20"/>
          <w:lang w:val="es-AR"/>
        </w:rPr>
        <w:t xml:space="preserve">l </w:t>
      </w:r>
      <w:r w:rsidR="00A77DA7">
        <w:rPr>
          <w:rFonts w:ascii="Cambria" w:hAnsi="Cambria"/>
          <w:color w:val="auto"/>
          <w:sz w:val="20"/>
          <w:szCs w:val="20"/>
          <w:lang w:val="es-AR"/>
        </w:rPr>
        <w:t>derecho a raíz de una sentencia judicial es suficiente para considerar que el Estado</w:t>
      </w:r>
      <w:r w:rsidR="00833DAB">
        <w:rPr>
          <w:rFonts w:ascii="Cambria" w:hAnsi="Cambria"/>
          <w:color w:val="auto"/>
          <w:sz w:val="20"/>
          <w:szCs w:val="20"/>
          <w:lang w:val="es-AR"/>
        </w:rPr>
        <w:t xml:space="preserve"> lo</w:t>
      </w:r>
      <w:r w:rsidR="00A77DA7">
        <w:rPr>
          <w:rFonts w:ascii="Cambria" w:hAnsi="Cambria"/>
          <w:color w:val="auto"/>
          <w:sz w:val="20"/>
          <w:szCs w:val="20"/>
          <w:lang w:val="es-AR"/>
        </w:rPr>
        <w:t xml:space="preserve"> ha protegido adecuadamente dicho derecho, en cuanto el Estado no puede responder por las deudas de partes privadas tales como las “corporaciones autónomas” que son las Municipalidades.</w:t>
      </w:r>
      <w:r w:rsidR="00A77DA7" w:rsidRPr="00BC7692">
        <w:rPr>
          <w:rFonts w:ascii="Cambria" w:hAnsi="Cambria"/>
          <w:color w:val="auto"/>
          <w:sz w:val="20"/>
          <w:szCs w:val="20"/>
          <w:lang w:val="es-AR"/>
        </w:rPr>
        <w:t xml:space="preserve"> </w:t>
      </w:r>
    </w:p>
    <w:p w14:paraId="7646EE80" w14:textId="77777777" w:rsidR="004E01C7" w:rsidRDefault="004E01C7" w:rsidP="004E01C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auto"/>
          <w:sz w:val="20"/>
          <w:szCs w:val="20"/>
          <w:lang w:val="es-AR"/>
        </w:rPr>
      </w:pPr>
    </w:p>
    <w:p w14:paraId="1A389EC9" w14:textId="77777777" w:rsidR="004E01C7" w:rsidRDefault="00A77DA7"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lang w:val="es-AR"/>
        </w:rPr>
      </w:pPr>
      <w:r w:rsidRPr="004E01C7">
        <w:rPr>
          <w:rFonts w:ascii="Cambria" w:hAnsi="Cambria"/>
          <w:color w:val="000000" w:themeColor="text1"/>
          <w:sz w:val="20"/>
          <w:szCs w:val="20"/>
        </w:rPr>
        <w:t>La CIDH recuerda que el derecho a un recurso efectivo tiene dos implicaciones: que los Estados “garanti</w:t>
      </w:r>
      <w:r w:rsidRPr="004E01C7">
        <w:rPr>
          <w:rFonts w:ascii="Cambria" w:hAnsi="Cambria" w:cs="Arial"/>
          <w:color w:val="000000" w:themeColor="text1"/>
          <w:sz w:val="20"/>
          <w:szCs w:val="20"/>
        </w:rPr>
        <w:t>[cen]</w:t>
      </w:r>
      <w:r w:rsidRPr="004E01C7">
        <w:rPr>
          <w:rFonts w:ascii="Cambria" w:hAnsi="Cambria"/>
          <w:color w:val="000000" w:themeColor="text1"/>
          <w:sz w:val="20"/>
          <w:szCs w:val="20"/>
        </w:rPr>
        <w:t xml:space="preserve"> los medios para ejecutar las respectivas decisiones y sentencias definitivas emitidas por […] autoridades competentes”, y que, cuando es el Estado quien es responsable de ejecutar una sentencia, que garantice su ejecución misma. La CIDH considera que el </w:t>
      </w:r>
      <w:r w:rsidR="006379C7" w:rsidRPr="004E01C7">
        <w:rPr>
          <w:rFonts w:ascii="Cambria" w:hAnsi="Cambria"/>
          <w:color w:val="000000" w:themeColor="text1"/>
          <w:sz w:val="20"/>
          <w:szCs w:val="20"/>
        </w:rPr>
        <w:t xml:space="preserve">análisis del presente caso debe incluir </w:t>
      </w:r>
      <w:r w:rsidRPr="004E01C7">
        <w:rPr>
          <w:rFonts w:ascii="Cambria" w:hAnsi="Cambria"/>
          <w:color w:val="000000" w:themeColor="text1"/>
          <w:sz w:val="20"/>
          <w:szCs w:val="20"/>
        </w:rPr>
        <w:t xml:space="preserve">ambos </w:t>
      </w:r>
      <w:r w:rsidR="006379C7" w:rsidRPr="004E01C7">
        <w:rPr>
          <w:rFonts w:ascii="Cambria" w:hAnsi="Cambria"/>
          <w:color w:val="000000" w:themeColor="text1"/>
          <w:sz w:val="20"/>
          <w:szCs w:val="20"/>
        </w:rPr>
        <w:t xml:space="preserve">aspectos, </w:t>
      </w:r>
      <w:r w:rsidRPr="004E01C7">
        <w:rPr>
          <w:rFonts w:ascii="Cambria" w:hAnsi="Cambria"/>
          <w:color w:val="000000" w:themeColor="text1"/>
          <w:sz w:val="20"/>
          <w:szCs w:val="20"/>
        </w:rPr>
        <w:t>tal como se desarrolla a continuación.</w:t>
      </w:r>
    </w:p>
    <w:p w14:paraId="09304948" w14:textId="77777777" w:rsidR="004E01C7" w:rsidRPr="004E01C7" w:rsidRDefault="004E01C7" w:rsidP="004E01C7">
      <w:pPr>
        <w:pStyle w:val="ListParagraph"/>
        <w:rPr>
          <w:color w:val="000000" w:themeColor="text1"/>
          <w:sz w:val="20"/>
          <w:szCs w:val="20"/>
          <w:lang w:val="es-VE"/>
        </w:rPr>
      </w:pPr>
    </w:p>
    <w:p w14:paraId="1C7814D8" w14:textId="77777777" w:rsidR="004E01C7" w:rsidRDefault="00A77DA7"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lang w:val="es-AR"/>
        </w:rPr>
      </w:pPr>
      <w:r w:rsidRPr="004E01C7">
        <w:rPr>
          <w:rFonts w:ascii="Cambria" w:hAnsi="Cambria"/>
          <w:color w:val="000000" w:themeColor="text1"/>
          <w:sz w:val="20"/>
          <w:szCs w:val="20"/>
        </w:rPr>
        <w:t>La C</w:t>
      </w:r>
      <w:r w:rsidR="00E70788" w:rsidRPr="004E01C7">
        <w:rPr>
          <w:rFonts w:ascii="Cambria" w:hAnsi="Cambria"/>
          <w:color w:val="000000" w:themeColor="text1"/>
          <w:sz w:val="20"/>
          <w:szCs w:val="20"/>
        </w:rPr>
        <w:t>omisión c</w:t>
      </w:r>
      <w:r w:rsidRPr="004E01C7">
        <w:rPr>
          <w:rFonts w:ascii="Cambria" w:hAnsi="Cambria"/>
          <w:color w:val="000000" w:themeColor="text1"/>
          <w:sz w:val="20"/>
          <w:szCs w:val="20"/>
        </w:rPr>
        <w:t xml:space="preserve">onsidera que el Estado no ha garantizado los medios para asegurar la ejecución de las 13 sentencias objeto del presente caso, pues el expediente del caso da cuenta de una amplia gama de </w:t>
      </w:r>
      <w:r w:rsidRPr="004E01C7">
        <w:rPr>
          <w:color w:val="000000" w:themeColor="text1"/>
          <w:sz w:val="20"/>
          <w:szCs w:val="20"/>
          <w:lang w:val="es-VE"/>
        </w:rPr>
        <w:t xml:space="preserve">acciones ejercidas en las 13 causas con la finalidad de asegurar el pago de las deudas adjudicadas—entre otras, la suscripción de convenios de pago, un apremio de arresto de un alcalde por falta de pago de las deudas, y demandas por parte de algunas Municipalidades en contra del Fisco para asegurar la asignación de recursos suficientes para cumplir las sentencias—ninguna de las cuales ha resultado en el pleno cumplimiento de las sentencias. Dichas acciones no han sido fructíferas, por un lado, debido a la normativa interna que prohíbe </w:t>
      </w:r>
      <w:r w:rsidRPr="004E01C7">
        <w:rPr>
          <w:rFonts w:ascii="Cambria" w:hAnsi="Cambria"/>
          <w:sz w:val="20"/>
          <w:szCs w:val="20"/>
        </w:rPr>
        <w:t xml:space="preserve">el embargamiento de los bienes municipales destinados al funcionamiento de sus servicios y sus dineros depositados; y, fundamentalmente, porque el Estado nacional se ha negado a asignar los fondos necesarios para permitir el cumplimiento de las sentencias por parte de las Municipalidades. En este sentido, el Estado también ha omitido garantizar la ejecución de las sentencias mismas, en cuanto las Municipalidades, independientemente de su calidad de “corporaciones autónomas” de acuerdo con el derecho interno, dependen del Estado nacional para la asignación de recursos para su normal funcionamiento, los cuales no han materializado en el presente caso. </w:t>
      </w:r>
    </w:p>
    <w:p w14:paraId="45C45319" w14:textId="77777777" w:rsidR="004E01C7" w:rsidRPr="004E01C7" w:rsidRDefault="004E01C7" w:rsidP="004E01C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auto"/>
          <w:sz w:val="20"/>
          <w:szCs w:val="20"/>
          <w:lang w:val="es-AR"/>
        </w:rPr>
      </w:pPr>
    </w:p>
    <w:p w14:paraId="17B4BB81" w14:textId="77777777" w:rsidR="004E01C7" w:rsidRDefault="00797B4F" w:rsidP="004E01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lang w:val="es-AR"/>
        </w:rPr>
      </w:pPr>
      <w:r w:rsidRPr="004E01C7">
        <w:rPr>
          <w:rFonts w:ascii="Cambria" w:hAnsi="Cambria"/>
          <w:sz w:val="20"/>
          <w:szCs w:val="20"/>
        </w:rPr>
        <w:t xml:space="preserve">Lo anterior ha dado lugar a una situación de indefensión y total desprotección para las víctimas en cuanto a la posibilidad de hacer cumplir los fallos a su favor, lo que </w:t>
      </w:r>
      <w:r w:rsidR="00A77DA7" w:rsidRPr="004E01C7">
        <w:rPr>
          <w:rFonts w:ascii="Cambria" w:hAnsi="Cambria"/>
          <w:sz w:val="20"/>
          <w:szCs w:val="20"/>
        </w:rPr>
        <w:t xml:space="preserve">se resume efectivamente en que, por un lado, el Estado ha afirmado que la inejecución de las sentencias se debe a que </w:t>
      </w:r>
      <w:r w:rsidR="00A77DA7" w:rsidRPr="004E01C7">
        <w:rPr>
          <w:rFonts w:ascii="Cambria" w:hAnsi="Cambria"/>
          <w:color w:val="auto"/>
          <w:sz w:val="20"/>
          <w:szCs w:val="20"/>
          <w:lang w:val="es-AR"/>
        </w:rPr>
        <w:t xml:space="preserve">los docentes no han </w:t>
      </w:r>
      <w:r w:rsidR="00A77DA7" w:rsidRPr="004E01C7">
        <w:rPr>
          <w:rFonts w:ascii="Cambria" w:hAnsi="Cambria"/>
          <w:color w:val="000000" w:themeColor="text1"/>
          <w:sz w:val="20"/>
          <w:szCs w:val="20"/>
          <w:lang w:val="es-VE"/>
        </w:rPr>
        <w:t>“realizado las acciones necesarias tendientes a que los municipios obtuviesen del Fisco los recursos económicos necesarios para cumplir a cabalidad la sentencia dictada”</w:t>
      </w:r>
      <w:r w:rsidR="00A77DA7">
        <w:rPr>
          <w:rStyle w:val="FootnoteReference"/>
          <w:rFonts w:ascii="Cambria" w:hAnsi="Cambria"/>
          <w:color w:val="000000" w:themeColor="text1"/>
          <w:sz w:val="20"/>
          <w:szCs w:val="20"/>
          <w:lang w:val="es-VE"/>
        </w:rPr>
        <w:footnoteReference w:id="81"/>
      </w:r>
      <w:r w:rsidR="00A77DA7" w:rsidRPr="004E01C7">
        <w:rPr>
          <w:rFonts w:ascii="Cambria" w:hAnsi="Cambria"/>
          <w:color w:val="000000" w:themeColor="text1"/>
          <w:sz w:val="20"/>
          <w:szCs w:val="20"/>
          <w:lang w:val="es-VE"/>
        </w:rPr>
        <w:t>—lo cual parecería ser, además, un reconocimiento de que el dinero para ejecutar las sentencias tendría que venir del Estado nacional—, pero por otro lado ha reconocido que dichas “acciones necesarias”, no tienen el sustento normativo a nivel interno necesario para que prosperen, en cuanto</w:t>
      </w:r>
      <w:r w:rsidR="00A77DA7" w:rsidRPr="004E01C7">
        <w:rPr>
          <w:rFonts w:ascii="Cambria" w:hAnsi="Cambria"/>
          <w:sz w:val="20"/>
          <w:szCs w:val="20"/>
        </w:rPr>
        <w:t xml:space="preserve"> </w:t>
      </w:r>
      <w:r w:rsidR="00A77DA7" w:rsidRPr="004E01C7">
        <w:rPr>
          <w:rFonts w:ascii="Cambria" w:hAnsi="Cambria"/>
          <w:color w:val="000000" w:themeColor="text1"/>
          <w:sz w:val="20"/>
          <w:szCs w:val="20"/>
          <w:lang w:val="es-VE"/>
        </w:rPr>
        <w:t>“no exist[e]</w:t>
      </w:r>
      <w:r w:rsidR="00A77DA7" w:rsidRPr="004E01C7">
        <w:rPr>
          <w:rFonts w:ascii="Cambria" w:hAnsi="Cambria"/>
          <w:color w:val="auto"/>
          <w:sz w:val="20"/>
          <w:szCs w:val="20"/>
          <w:lang w:val="es-AR"/>
        </w:rPr>
        <w:t xml:space="preserve"> </w:t>
      </w:r>
      <w:r w:rsidR="00A77DA7" w:rsidRPr="004E01C7">
        <w:rPr>
          <w:color w:val="000000" w:themeColor="text1"/>
          <w:sz w:val="20"/>
          <w:szCs w:val="20"/>
          <w:lang w:val="es-VE"/>
        </w:rPr>
        <w:t>norma legal alguna que autorice el pago de las sumas de dinero a las que por su propia negligencia fueron condenados los municipios, [por lo que] no pudo el Estado-Fisco de Chile efectuar desembolso alguno”</w:t>
      </w:r>
      <w:r w:rsidR="00A77DA7">
        <w:rPr>
          <w:rStyle w:val="FootnoteReference"/>
          <w:rFonts w:ascii="Cambria" w:hAnsi="Cambria"/>
          <w:color w:val="000000" w:themeColor="text1"/>
          <w:sz w:val="20"/>
          <w:szCs w:val="20"/>
          <w:lang w:val="es-VE"/>
        </w:rPr>
        <w:footnoteReference w:id="82"/>
      </w:r>
      <w:r w:rsidR="00A77DA7" w:rsidRPr="004E01C7">
        <w:rPr>
          <w:color w:val="000000" w:themeColor="text1"/>
          <w:sz w:val="20"/>
          <w:szCs w:val="20"/>
          <w:lang w:val="es-VE"/>
        </w:rPr>
        <w:t>. La CIDH considera que lo anterior, da cuenta de claras fallas en el</w:t>
      </w:r>
      <w:r w:rsidRPr="004E01C7">
        <w:rPr>
          <w:color w:val="000000" w:themeColor="text1"/>
          <w:sz w:val="20"/>
          <w:szCs w:val="20"/>
          <w:lang w:val="es-VE"/>
        </w:rPr>
        <w:t xml:space="preserve"> marco normativo </w:t>
      </w:r>
      <w:r w:rsidR="00A77DA7" w:rsidRPr="004E01C7">
        <w:rPr>
          <w:color w:val="000000" w:themeColor="text1"/>
          <w:sz w:val="20"/>
          <w:szCs w:val="20"/>
          <w:lang w:val="es-VE"/>
        </w:rPr>
        <w:t>interno en cuanto el Estado ha sostenido que carece de los medios para asegurar el cumplimiento de sentencias judiciales en contra de sus Municipalidades</w:t>
      </w:r>
      <w:r w:rsidR="00080F30" w:rsidRPr="004E01C7">
        <w:rPr>
          <w:color w:val="000000" w:themeColor="text1"/>
          <w:sz w:val="20"/>
          <w:szCs w:val="20"/>
          <w:lang w:val="es-VE"/>
        </w:rPr>
        <w:t xml:space="preserve">. De esto se desprende además </w:t>
      </w:r>
      <w:r w:rsidR="00A77DA7" w:rsidRPr="004E01C7">
        <w:rPr>
          <w:color w:val="000000" w:themeColor="text1"/>
          <w:sz w:val="20"/>
          <w:szCs w:val="20"/>
          <w:lang w:val="es-VE"/>
        </w:rPr>
        <w:t>la necesidad de que el Estado adecue su normativa interna para asegurar los medios de pago en el futuro</w:t>
      </w:r>
      <w:r w:rsidR="00080F30" w:rsidRPr="004E01C7">
        <w:rPr>
          <w:color w:val="000000" w:themeColor="text1"/>
          <w:sz w:val="20"/>
          <w:szCs w:val="20"/>
          <w:lang w:val="es-VE"/>
        </w:rPr>
        <w:t>, tal como se indicará en la sección de recomendaciones.</w:t>
      </w:r>
    </w:p>
    <w:p w14:paraId="0B89FA0A" w14:textId="77777777" w:rsidR="004E01C7" w:rsidRDefault="004E01C7" w:rsidP="004E01C7">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auto"/>
          <w:sz w:val="20"/>
          <w:szCs w:val="20"/>
          <w:lang w:val="es-AR"/>
        </w:rPr>
      </w:pPr>
    </w:p>
    <w:p w14:paraId="474A119F" w14:textId="77777777" w:rsidR="00254597" w:rsidRPr="004E01C7" w:rsidRDefault="00413689" w:rsidP="00A77D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lang w:val="es-AR"/>
        </w:rPr>
      </w:pPr>
      <w:r w:rsidRPr="004E01C7">
        <w:rPr>
          <w:rFonts w:ascii="Cambria" w:hAnsi="Cambria"/>
          <w:color w:val="auto"/>
          <w:sz w:val="20"/>
          <w:szCs w:val="20"/>
          <w:lang w:val="es-AR"/>
        </w:rPr>
        <w:t xml:space="preserve">En virtud de las anteriores consideraciones, la Comisión concluye que el Estado chileno es responsable por la violación del derecho a protección judicial, específicamente en lo relativo a la ejecución de decisiones judiciales en firme, en los términos del artículo 25.2 c) de la Convención Americana en relación con las obligaciones establecidas en los artículos 1.1 y 2 del mismo instrumento, en perjuicio de la totalidad de víctimas del presente caso, beneficiarias de las 13 decisiones judiciales, conforme se individualiza en el Anexo Único de víctimas del presente informe de fondo. </w:t>
      </w:r>
    </w:p>
    <w:p w14:paraId="7F92DF3E" w14:textId="77777777" w:rsidR="00E359DA" w:rsidRDefault="00E359DA" w:rsidP="00E359DA">
      <w:pPr>
        <w:pStyle w:val="ListParagraph"/>
        <w:rPr>
          <w:sz w:val="20"/>
          <w:szCs w:val="20"/>
          <w:lang w:val="es-ES"/>
        </w:rPr>
      </w:pPr>
    </w:p>
    <w:p w14:paraId="408B4F99" w14:textId="77777777" w:rsidR="00E359DA" w:rsidRPr="00C4393B" w:rsidRDefault="00E359DA" w:rsidP="00144082">
      <w:pPr>
        <w:pStyle w:val="Heading3"/>
        <w:numPr>
          <w:ilvl w:val="0"/>
          <w:numId w:val="61"/>
        </w:numPr>
        <w:ind w:left="630" w:hanging="630"/>
      </w:pPr>
      <w:bookmarkStart w:id="29" w:name="_Toc532549554"/>
      <w:bookmarkStart w:id="30" w:name="_Toc5020349"/>
      <w:r w:rsidRPr="00C4393B">
        <w:t>Plazo razonable en la ejecución de fallos internos</w:t>
      </w:r>
      <w:bookmarkEnd w:id="29"/>
      <w:bookmarkEnd w:id="30"/>
    </w:p>
    <w:p w14:paraId="3B798702" w14:textId="77777777" w:rsidR="00E359DA" w:rsidRDefault="00E359DA" w:rsidP="00E359DA">
      <w:pPr>
        <w:pStyle w:val="ListParagraph"/>
        <w:rPr>
          <w:sz w:val="20"/>
          <w:szCs w:val="20"/>
          <w:lang w:val="es-ES"/>
        </w:rPr>
      </w:pPr>
    </w:p>
    <w:p w14:paraId="403D3D2E" w14:textId="77777777" w:rsidR="00683E73" w:rsidRDefault="00E359DA"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FF0000"/>
          <w:sz w:val="20"/>
          <w:szCs w:val="20"/>
          <w:lang w:val="es-AR"/>
        </w:rPr>
      </w:pPr>
      <w:r w:rsidRPr="00E359DA">
        <w:rPr>
          <w:rFonts w:ascii="Cambria" w:hAnsi="Cambria"/>
          <w:sz w:val="20"/>
          <w:szCs w:val="20"/>
        </w:rPr>
        <w:t>El artículo 8.1 de la Convención Americana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7B2915">
        <w:rPr>
          <w:rStyle w:val="FootnoteReference"/>
          <w:rFonts w:ascii="Cambria" w:hAnsi="Cambria"/>
          <w:sz w:val="20"/>
          <w:szCs w:val="20"/>
          <w:lang w:val="es-ES_tradnl"/>
        </w:rPr>
        <w:footnoteReference w:id="83"/>
      </w:r>
      <w:r w:rsidRPr="00E359DA">
        <w:rPr>
          <w:rFonts w:ascii="Cambria" w:hAnsi="Cambria"/>
          <w:sz w:val="20"/>
          <w:szCs w:val="20"/>
        </w:rPr>
        <w:t>. Aunque la CIDH y la Corte se han pronunciado de manera extensa sobre el plazo razonable en procesos de carácter penal, ésta disposición también puede ser aplicada a la ejecución de una sentencia judicial en firme.</w:t>
      </w:r>
    </w:p>
    <w:p w14:paraId="0860E54E" w14:textId="77777777" w:rsidR="00683E73" w:rsidRDefault="00683E73" w:rsidP="00683E7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FF0000"/>
          <w:sz w:val="20"/>
          <w:szCs w:val="20"/>
          <w:lang w:val="es-AR"/>
        </w:rPr>
      </w:pPr>
    </w:p>
    <w:p w14:paraId="0849A1C7" w14:textId="77777777" w:rsidR="00683E73" w:rsidRDefault="00E359DA"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FF0000"/>
          <w:sz w:val="20"/>
          <w:szCs w:val="20"/>
          <w:lang w:val="es-AR"/>
        </w:rPr>
      </w:pPr>
      <w:r w:rsidRPr="00683E73">
        <w:rPr>
          <w:rFonts w:ascii="Cambria" w:hAnsi="Cambria"/>
          <w:sz w:val="20"/>
          <w:szCs w:val="20"/>
        </w:rPr>
        <w:t>Ello ha sido reiterado en la jurisprudencia de la Corte Europea, al indicar que el retraso injustificado en la ejecución de una sentencia judicial puede constituir una violación del derecho a ser juzgado dentro un plazo razonable</w:t>
      </w:r>
      <w:r w:rsidRPr="007B2915">
        <w:rPr>
          <w:rStyle w:val="FootnoteReference"/>
          <w:rFonts w:ascii="Cambria" w:hAnsi="Cambria"/>
          <w:sz w:val="20"/>
          <w:szCs w:val="20"/>
        </w:rPr>
        <w:footnoteReference w:id="84"/>
      </w:r>
      <w:r w:rsidRPr="00683E73">
        <w:rPr>
          <w:rFonts w:ascii="Cambria" w:hAnsi="Cambria"/>
          <w:sz w:val="20"/>
          <w:szCs w:val="20"/>
        </w:rPr>
        <w:t xml:space="preserve">. La Corte Europea remarcó que en ningún caso el retraso de la ejecución de una sentencia judicial en firme “podrá comprometer la esencia del derecho recogido por el derecho </w:t>
      </w:r>
      <w:r w:rsidRPr="00683E73">
        <w:rPr>
          <w:rFonts w:ascii="Cambria" w:hAnsi="Cambria" w:cs="Arial"/>
          <w:sz w:val="20"/>
          <w:szCs w:val="20"/>
        </w:rPr>
        <w:t>[al debido proceso]</w:t>
      </w:r>
      <w:r w:rsidRPr="00683E73">
        <w:rPr>
          <w:rFonts w:ascii="Cambria" w:hAnsi="Cambria"/>
          <w:sz w:val="20"/>
          <w:szCs w:val="20"/>
        </w:rPr>
        <w:t>”</w:t>
      </w:r>
      <w:r w:rsidRPr="007B2915">
        <w:rPr>
          <w:rStyle w:val="FootnoteReference"/>
          <w:rFonts w:ascii="Cambria" w:hAnsi="Cambria"/>
          <w:sz w:val="20"/>
          <w:szCs w:val="20"/>
        </w:rPr>
        <w:footnoteReference w:id="85"/>
      </w:r>
      <w:r w:rsidRPr="00683E73">
        <w:rPr>
          <w:rFonts w:ascii="Cambria" w:hAnsi="Cambria"/>
          <w:sz w:val="20"/>
          <w:szCs w:val="20"/>
        </w:rPr>
        <w:t>.</w:t>
      </w:r>
    </w:p>
    <w:p w14:paraId="0BD00ADD" w14:textId="77777777" w:rsidR="00683E73" w:rsidRDefault="00683E73" w:rsidP="00683E73">
      <w:pPr>
        <w:pStyle w:val="ListParagraph"/>
        <w:rPr>
          <w:sz w:val="20"/>
          <w:szCs w:val="20"/>
          <w:lang w:val="es-ES_tradnl"/>
        </w:rPr>
      </w:pPr>
    </w:p>
    <w:p w14:paraId="473D8345" w14:textId="77777777" w:rsidR="00683E73" w:rsidRDefault="00E359DA"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FF0000"/>
          <w:sz w:val="20"/>
          <w:szCs w:val="20"/>
          <w:lang w:val="es-AR"/>
        </w:rPr>
      </w:pPr>
      <w:r w:rsidRPr="00683E73">
        <w:rPr>
          <w:rFonts w:ascii="Cambria" w:hAnsi="Cambria"/>
          <w:sz w:val="20"/>
          <w:szCs w:val="20"/>
          <w:lang w:val="es-ES_tradnl"/>
        </w:rPr>
        <w:t>Según los términos del artículo 8.1 de la Convención Americana, la Comisión tomará en consideración, a la luz de las circunstancias concretas del caso, los siguientes cuatro elementos para analizar la razonabilidad del plazo, a saber</w:t>
      </w:r>
      <w:r w:rsidRPr="00683E73">
        <w:rPr>
          <w:rFonts w:ascii="Cambria" w:hAnsi="Cambria"/>
          <w:sz w:val="20"/>
          <w:szCs w:val="20"/>
        </w:rPr>
        <w:t>: i) la complejidad del asunto; ii) la actividad procesal del interesado;  iii) la conducta de las autoridades judiciales;</w:t>
      </w:r>
      <w:r w:rsidRPr="00683E73">
        <w:rPr>
          <w:rFonts w:ascii="Cambria" w:hAnsi="Cambria"/>
          <w:sz w:val="20"/>
          <w:szCs w:val="20"/>
          <w:lang w:val="es-ES_tradnl"/>
        </w:rPr>
        <w:t xml:space="preserve"> y iv) afectación generada en la situación jurídica de la persona involucrada en el proceso</w:t>
      </w:r>
      <w:r w:rsidRPr="007B2915">
        <w:rPr>
          <w:rStyle w:val="FootnoteReference"/>
          <w:rFonts w:ascii="Cambria" w:hAnsi="Cambria"/>
          <w:sz w:val="20"/>
          <w:szCs w:val="20"/>
          <w:lang w:val="es-ES_tradnl"/>
        </w:rPr>
        <w:footnoteReference w:id="86"/>
      </w:r>
      <w:r w:rsidRPr="00683E73">
        <w:rPr>
          <w:rFonts w:ascii="Cambria" w:hAnsi="Cambria"/>
          <w:sz w:val="20"/>
          <w:szCs w:val="20"/>
        </w:rPr>
        <w:t>.</w:t>
      </w:r>
    </w:p>
    <w:p w14:paraId="1DE1D6BE" w14:textId="77777777" w:rsidR="00683E73" w:rsidRDefault="00683E73" w:rsidP="00683E73">
      <w:pPr>
        <w:pStyle w:val="ListParagraph"/>
        <w:rPr>
          <w:color w:val="auto"/>
          <w:sz w:val="20"/>
          <w:szCs w:val="20"/>
          <w:lang w:val="es-AR"/>
        </w:rPr>
      </w:pPr>
    </w:p>
    <w:p w14:paraId="7BF80758" w14:textId="77777777" w:rsidR="00683E73" w:rsidRDefault="009F6401"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FF0000"/>
          <w:sz w:val="20"/>
          <w:szCs w:val="20"/>
          <w:lang w:val="es-AR"/>
        </w:rPr>
      </w:pPr>
      <w:r w:rsidRPr="00683E73">
        <w:rPr>
          <w:rFonts w:ascii="Cambria" w:hAnsi="Cambria"/>
          <w:color w:val="auto"/>
          <w:sz w:val="20"/>
          <w:szCs w:val="20"/>
          <w:lang w:val="es-AR"/>
        </w:rPr>
        <w:t xml:space="preserve">En el presente caso, </w:t>
      </w:r>
      <w:r w:rsidR="00E3126E" w:rsidRPr="00683E73">
        <w:rPr>
          <w:rFonts w:ascii="Cambria" w:hAnsi="Cambria"/>
          <w:color w:val="auto"/>
          <w:sz w:val="20"/>
          <w:szCs w:val="20"/>
          <w:lang w:val="es-AR"/>
        </w:rPr>
        <w:t>la CIDH considera que los más de 20 años transcurridos en las 13 causas desde la</w:t>
      </w:r>
      <w:r w:rsidR="007A28BA" w:rsidRPr="00683E73">
        <w:rPr>
          <w:rFonts w:ascii="Cambria" w:hAnsi="Cambria"/>
          <w:color w:val="auto"/>
          <w:sz w:val="20"/>
          <w:szCs w:val="20"/>
          <w:lang w:val="es-AR"/>
        </w:rPr>
        <w:t>s</w:t>
      </w:r>
      <w:r w:rsidR="00E3126E" w:rsidRPr="00683E73">
        <w:rPr>
          <w:rFonts w:ascii="Cambria" w:hAnsi="Cambria"/>
          <w:color w:val="auto"/>
          <w:sz w:val="20"/>
          <w:szCs w:val="20"/>
          <w:lang w:val="es-AR"/>
        </w:rPr>
        <w:t xml:space="preserve"> sentencia</w:t>
      </w:r>
      <w:r w:rsidR="007A28BA" w:rsidRPr="00683E73">
        <w:rPr>
          <w:rFonts w:ascii="Cambria" w:hAnsi="Cambria"/>
          <w:color w:val="auto"/>
          <w:sz w:val="20"/>
          <w:szCs w:val="20"/>
          <w:lang w:val="es-AR"/>
        </w:rPr>
        <w:t>s</w:t>
      </w:r>
      <w:r w:rsidR="00E3126E" w:rsidRPr="00683E73">
        <w:rPr>
          <w:rFonts w:ascii="Cambria" w:hAnsi="Cambria"/>
          <w:color w:val="auto"/>
          <w:sz w:val="20"/>
          <w:szCs w:val="20"/>
          <w:lang w:val="es-AR"/>
        </w:rPr>
        <w:t xml:space="preserve"> judicial</w:t>
      </w:r>
      <w:r w:rsidR="007A28BA" w:rsidRPr="00683E73">
        <w:rPr>
          <w:rFonts w:ascii="Cambria" w:hAnsi="Cambria"/>
          <w:color w:val="auto"/>
          <w:sz w:val="20"/>
          <w:szCs w:val="20"/>
          <w:lang w:val="es-AR"/>
        </w:rPr>
        <w:t>es en</w:t>
      </w:r>
      <w:r w:rsidR="00E3126E" w:rsidRPr="00683E73">
        <w:rPr>
          <w:rFonts w:ascii="Cambria" w:hAnsi="Cambria"/>
          <w:color w:val="auto"/>
          <w:sz w:val="20"/>
          <w:szCs w:val="20"/>
          <w:lang w:val="es-AR"/>
        </w:rPr>
        <w:t xml:space="preserve"> firme, sin que se haya cumplido con la ejecución de ninguna de ellas, resulta manifiestamente irrazonable. En este sentido, el Estado ha alegado que la falta de ejecución de las sentencias se debe a la inactividad procesal de los docentes para asegurar el cumplimiento de las sentencias; no obstante, la CIDH encuentra probado de la totalidad de la información presentada en este caso y a la luz de las consideraciones anteriores que el obstáculo fundamental para el cumplimiento de estas sentencias ha sido la falta de presupuesto de las Municipalidades para desembolsar los montos adjudicados</w:t>
      </w:r>
      <w:r w:rsidR="00BD12BC" w:rsidRPr="00683E73">
        <w:rPr>
          <w:rFonts w:ascii="Cambria" w:hAnsi="Cambria"/>
          <w:color w:val="auto"/>
          <w:sz w:val="20"/>
          <w:szCs w:val="20"/>
          <w:lang w:val="es-AR"/>
        </w:rPr>
        <w:t>. Esta</w:t>
      </w:r>
      <w:r w:rsidR="00E3126E" w:rsidRPr="00683E73">
        <w:rPr>
          <w:rFonts w:ascii="Cambria" w:hAnsi="Cambria"/>
          <w:color w:val="auto"/>
          <w:sz w:val="20"/>
          <w:szCs w:val="20"/>
          <w:lang w:val="es-AR"/>
        </w:rPr>
        <w:t xml:space="preserve"> problemática</w:t>
      </w:r>
      <w:r w:rsidR="0080549A" w:rsidRPr="00683E73">
        <w:rPr>
          <w:rFonts w:ascii="Cambria" w:hAnsi="Cambria"/>
          <w:color w:val="auto"/>
          <w:sz w:val="20"/>
          <w:szCs w:val="20"/>
          <w:lang w:val="es-AR"/>
        </w:rPr>
        <w:t xml:space="preserve">, a su vez, </w:t>
      </w:r>
      <w:r w:rsidR="00E3126E" w:rsidRPr="00683E73">
        <w:rPr>
          <w:rFonts w:ascii="Cambria" w:hAnsi="Cambria"/>
          <w:color w:val="auto"/>
          <w:sz w:val="20"/>
          <w:szCs w:val="20"/>
          <w:lang w:val="es-AR"/>
        </w:rPr>
        <w:t xml:space="preserve">responde a la omisión del Estado nacional de asignar fondos a las Municipalidades para el pago de estas deudas y de adecuar su normativa interna para asegurar el cabal cumplimiento de las sentencias. </w:t>
      </w:r>
    </w:p>
    <w:p w14:paraId="753EB061" w14:textId="77777777" w:rsidR="00683E73" w:rsidRDefault="00683E73" w:rsidP="00683E73">
      <w:pPr>
        <w:pStyle w:val="ListParagraph"/>
        <w:rPr>
          <w:color w:val="000000" w:themeColor="text1"/>
          <w:sz w:val="20"/>
          <w:szCs w:val="20"/>
          <w:lang w:val="es-VE"/>
        </w:rPr>
      </w:pPr>
    </w:p>
    <w:p w14:paraId="01016B5C" w14:textId="77777777" w:rsidR="00683E73" w:rsidRDefault="00E3126E"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FF0000"/>
          <w:sz w:val="20"/>
          <w:szCs w:val="20"/>
          <w:lang w:val="es-AR"/>
        </w:rPr>
      </w:pPr>
      <w:r w:rsidRPr="00683E73">
        <w:rPr>
          <w:color w:val="000000" w:themeColor="text1"/>
          <w:sz w:val="20"/>
          <w:szCs w:val="20"/>
          <w:lang w:val="es-VE"/>
        </w:rPr>
        <w:t>En este sentido, la CIDH considera que la falta de cumplimiento de las sentencias no se debe</w:t>
      </w:r>
      <w:r w:rsidR="0080549A" w:rsidRPr="00683E73">
        <w:rPr>
          <w:color w:val="000000" w:themeColor="text1"/>
          <w:sz w:val="20"/>
          <w:szCs w:val="20"/>
          <w:lang w:val="es-VE"/>
        </w:rPr>
        <w:t xml:space="preserve"> ni a la complejidad del asunto ni a la </w:t>
      </w:r>
      <w:r w:rsidRPr="00683E73">
        <w:rPr>
          <w:color w:val="000000" w:themeColor="text1"/>
          <w:sz w:val="20"/>
          <w:szCs w:val="20"/>
          <w:lang w:val="es-VE"/>
        </w:rPr>
        <w:t xml:space="preserve">alegada falta de actividad procesal en las causas por parte de los docentes, sino a la conducta de las autoridades </w:t>
      </w:r>
      <w:r w:rsidR="00242208" w:rsidRPr="00683E73">
        <w:rPr>
          <w:color w:val="000000" w:themeColor="text1"/>
          <w:sz w:val="20"/>
          <w:szCs w:val="20"/>
          <w:lang w:val="es-VE"/>
        </w:rPr>
        <w:t>estatales de diverso orden,</w:t>
      </w:r>
      <w:r w:rsidRPr="00683E73">
        <w:rPr>
          <w:color w:val="000000" w:themeColor="text1"/>
          <w:sz w:val="20"/>
          <w:szCs w:val="20"/>
          <w:lang w:val="es-VE"/>
        </w:rPr>
        <w:t xml:space="preserve"> quienes han impedido la posibilidad de dar pleno cumplimiento con estas sentencias a lo largo de más de 20 años.</w:t>
      </w:r>
    </w:p>
    <w:p w14:paraId="2E804E1D" w14:textId="77777777" w:rsidR="00683E73" w:rsidRDefault="00683E73" w:rsidP="00683E73">
      <w:pPr>
        <w:pStyle w:val="ListParagraph"/>
        <w:rPr>
          <w:color w:val="auto"/>
          <w:sz w:val="20"/>
          <w:szCs w:val="20"/>
          <w:lang w:val="es-AR"/>
        </w:rPr>
      </w:pPr>
    </w:p>
    <w:p w14:paraId="0B417007" w14:textId="77777777" w:rsidR="00683E73" w:rsidRDefault="00E3126E"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FF0000"/>
          <w:sz w:val="20"/>
          <w:szCs w:val="20"/>
          <w:lang w:val="es-AR"/>
        </w:rPr>
      </w:pPr>
      <w:r w:rsidRPr="00683E73">
        <w:rPr>
          <w:rFonts w:ascii="Cambria" w:hAnsi="Cambria"/>
          <w:color w:val="auto"/>
          <w:sz w:val="20"/>
          <w:szCs w:val="20"/>
          <w:lang w:val="es-AR"/>
        </w:rPr>
        <w:t xml:space="preserve">Finalmente, la CIDH no puede dejar de notar el impacto que ha tenido </w:t>
      </w:r>
      <w:r w:rsidR="00AD6026" w:rsidRPr="00683E73">
        <w:rPr>
          <w:rFonts w:ascii="Cambria" w:hAnsi="Cambria"/>
          <w:color w:val="auto"/>
          <w:sz w:val="20"/>
          <w:szCs w:val="20"/>
          <w:lang w:val="es-AR"/>
        </w:rPr>
        <w:t>la falta de pago d</w:t>
      </w:r>
      <w:r w:rsidRPr="00683E73">
        <w:rPr>
          <w:rFonts w:ascii="Cambria" w:hAnsi="Cambria"/>
          <w:color w:val="auto"/>
          <w:sz w:val="20"/>
          <w:szCs w:val="20"/>
          <w:lang w:val="es-AR"/>
        </w:rPr>
        <w:t xml:space="preserve">e estas sentencias en las víctimas de este caso, tanto en su aspecto material </w:t>
      </w:r>
      <w:r w:rsidR="00AD6026" w:rsidRPr="00683E73">
        <w:rPr>
          <w:rFonts w:ascii="Cambria" w:hAnsi="Cambria"/>
          <w:color w:val="auto"/>
          <w:sz w:val="20"/>
          <w:szCs w:val="20"/>
          <w:lang w:val="es-AR"/>
        </w:rPr>
        <w:t>en</w:t>
      </w:r>
      <w:r w:rsidRPr="00683E73">
        <w:rPr>
          <w:rFonts w:ascii="Cambria" w:hAnsi="Cambria"/>
          <w:color w:val="auto"/>
          <w:sz w:val="20"/>
          <w:szCs w:val="20"/>
          <w:lang w:val="es-AR"/>
        </w:rPr>
        <w:t xml:space="preserve"> sus condiciones de vida como el desgaste que han implicado los procesos inconclusos para hacer cumplir estas sentencias. Aunado a lo anterior, la gran mayoría de los docentes, ya son personas mayores bajo el derecho internacional. De acuerdo con la información recopilada en el Anexo de víctimas, hasta mediados de 2016, </w:t>
      </w:r>
      <w:r w:rsidRPr="00683E73">
        <w:rPr>
          <w:rFonts w:ascii="Cambria" w:hAnsi="Cambria"/>
          <w:sz w:val="20"/>
          <w:szCs w:val="20"/>
          <w:lang w:val="es-MX"/>
        </w:rPr>
        <w:t>126 de las víctimas habían fallecido, 80 tenían entre 80 y 90 años, 235 tenían entre 70 y 79 años y 411 tenían menos de 70 años.</w:t>
      </w:r>
      <w:r w:rsidR="00660AB1" w:rsidRPr="00683E73">
        <w:rPr>
          <w:rFonts w:ascii="Cambria" w:hAnsi="Cambria"/>
          <w:sz w:val="20"/>
          <w:szCs w:val="20"/>
          <w:lang w:val="es-MX"/>
        </w:rPr>
        <w:t xml:space="preserve"> Esto debe tomarse en cuenta también como elemento respecto del cuarto criterio relativo a la valoración del plazo razonable. </w:t>
      </w:r>
    </w:p>
    <w:p w14:paraId="68737214" w14:textId="77777777" w:rsidR="00683E73" w:rsidRDefault="00683E73" w:rsidP="00683E73">
      <w:pPr>
        <w:pStyle w:val="ListParagraph"/>
        <w:rPr>
          <w:color w:val="auto"/>
          <w:sz w:val="20"/>
          <w:szCs w:val="20"/>
          <w:lang w:val="es-AR"/>
        </w:rPr>
      </w:pPr>
    </w:p>
    <w:p w14:paraId="2FEC4DEF" w14:textId="77777777" w:rsidR="00DA30A1" w:rsidRPr="00683E73" w:rsidRDefault="00660AB1"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FF0000"/>
          <w:sz w:val="20"/>
          <w:szCs w:val="20"/>
          <w:lang w:val="es-AR"/>
        </w:rPr>
      </w:pPr>
      <w:r w:rsidRPr="00683E73">
        <w:rPr>
          <w:rFonts w:ascii="Cambria" w:hAnsi="Cambria"/>
          <w:color w:val="auto"/>
          <w:sz w:val="20"/>
          <w:szCs w:val="20"/>
          <w:lang w:val="es-AR"/>
        </w:rPr>
        <w:t xml:space="preserve">En </w:t>
      </w:r>
      <w:r w:rsidR="003C0474" w:rsidRPr="00683E73">
        <w:rPr>
          <w:rFonts w:ascii="Cambria" w:hAnsi="Cambria"/>
          <w:color w:val="auto"/>
          <w:sz w:val="20"/>
          <w:szCs w:val="20"/>
          <w:lang w:val="es-AR"/>
        </w:rPr>
        <w:t xml:space="preserve">virtud de las anteriores consideraciones, la Comisión </w:t>
      </w:r>
      <w:r w:rsidR="00DA30A1" w:rsidRPr="00683E73">
        <w:rPr>
          <w:rFonts w:ascii="Cambria" w:hAnsi="Cambria"/>
          <w:color w:val="auto"/>
          <w:sz w:val="20"/>
          <w:szCs w:val="20"/>
          <w:lang w:val="es-AR"/>
        </w:rPr>
        <w:t xml:space="preserve">concluye que el Estado también es responsable por la violación a la garantía de plazo razonable establecida en el artículo 8.1 de la Convención Americana, en relación con los artículos 1.1 y 2 del mismo instrumento, en perjuicio de la totalidad de víctimas del presente caso, beneficiarias de las 13 decisiones judiciales, conforme se individualiza en el Anexo Único de víctimas del presente informe de fondo. </w:t>
      </w:r>
    </w:p>
    <w:p w14:paraId="177691C2" w14:textId="77777777" w:rsidR="00E3126E" w:rsidRPr="00660AB1" w:rsidRDefault="00E3126E" w:rsidP="00182F84">
      <w:pPr>
        <w:rPr>
          <w:sz w:val="20"/>
          <w:szCs w:val="20"/>
          <w:lang w:val="es-AR"/>
        </w:rPr>
      </w:pPr>
    </w:p>
    <w:p w14:paraId="3AC28157" w14:textId="77777777" w:rsidR="00FA3022" w:rsidRPr="00B42AC9" w:rsidRDefault="00FA3022" w:rsidP="00144082">
      <w:pPr>
        <w:pStyle w:val="Heading3"/>
        <w:numPr>
          <w:ilvl w:val="0"/>
          <w:numId w:val="61"/>
        </w:numPr>
        <w:ind w:left="630" w:hanging="630"/>
      </w:pPr>
      <w:bookmarkStart w:id="31" w:name="_Toc346449096"/>
      <w:bookmarkStart w:id="32" w:name="_Toc474398503"/>
      <w:bookmarkStart w:id="33" w:name="_Toc480636779"/>
      <w:bookmarkStart w:id="34" w:name="_Toc5020350"/>
      <w:r w:rsidRPr="00B42AC9">
        <w:t>El derecho a la propiedad privada en relación con la falta de ejecución de fallos internos relativos a la pensión</w:t>
      </w:r>
      <w:bookmarkEnd w:id="31"/>
      <w:bookmarkEnd w:id="32"/>
      <w:bookmarkEnd w:id="33"/>
      <w:bookmarkEnd w:id="34"/>
    </w:p>
    <w:p w14:paraId="52E8B37B" w14:textId="77777777" w:rsidR="00FA3022" w:rsidRPr="00B42AC9" w:rsidRDefault="00FA3022" w:rsidP="00FA3022">
      <w:pPr>
        <w:rPr>
          <w:rFonts w:ascii="Cambria" w:hAnsi="Cambria"/>
          <w:sz w:val="20"/>
          <w:szCs w:val="20"/>
        </w:rPr>
      </w:pPr>
    </w:p>
    <w:p w14:paraId="443A5D76" w14:textId="77777777" w:rsidR="00683E73" w:rsidRDefault="00FA3022"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_tradnl"/>
        </w:rPr>
      </w:pPr>
      <w:r w:rsidRPr="00B42AC9">
        <w:rPr>
          <w:rFonts w:ascii="Cambria" w:hAnsi="Cambria"/>
          <w:sz w:val="20"/>
          <w:szCs w:val="20"/>
          <w:lang w:val="es-ES_tradnl"/>
        </w:rPr>
        <w:t xml:space="preserve">Tanto la </w:t>
      </w:r>
      <w:r w:rsidRPr="00FA3022">
        <w:rPr>
          <w:rFonts w:ascii="Cambria" w:hAnsi="Cambria"/>
          <w:color w:val="auto"/>
          <w:sz w:val="20"/>
          <w:szCs w:val="20"/>
          <w:lang w:val="es-AR"/>
        </w:rPr>
        <w:t>Comisión</w:t>
      </w:r>
      <w:r w:rsidRPr="00B42AC9">
        <w:rPr>
          <w:rFonts w:ascii="Cambria" w:hAnsi="Cambria"/>
          <w:sz w:val="20"/>
          <w:szCs w:val="20"/>
          <w:lang w:val="es-ES_tradnl"/>
        </w:rPr>
        <w:t xml:space="preserve"> como la Corte han desarrollado en su jurisprudencia un concepto amplio de propiedad que abarca, entre otros, el uso y goce de los bienes, definidos como cosas materiales apropiables, así como todo derecho que pueda formar parte del patrimonio de una persona</w:t>
      </w:r>
      <w:r w:rsidRPr="00B42AC9">
        <w:rPr>
          <w:rStyle w:val="FootnoteReference"/>
          <w:rFonts w:ascii="Cambria" w:hAnsi="Cambria"/>
          <w:sz w:val="20"/>
          <w:szCs w:val="20"/>
          <w:lang w:val="es-ES_tradnl"/>
        </w:rPr>
        <w:footnoteReference w:id="87"/>
      </w:r>
      <w:r w:rsidRPr="00B42AC9">
        <w:rPr>
          <w:rFonts w:ascii="Cambria" w:hAnsi="Cambria"/>
          <w:sz w:val="20"/>
          <w:szCs w:val="20"/>
          <w:lang w:val="es-ES_tradnl"/>
        </w:rPr>
        <w:t>. Asimismo, la Corte ha protegido a través del derecho a la propiedad los derechos adquiridos, entendidos como derechos que se han incorporado al patrimonio de las personas</w:t>
      </w:r>
      <w:r w:rsidRPr="00B42AC9">
        <w:rPr>
          <w:rStyle w:val="FootnoteReference"/>
          <w:rFonts w:ascii="Cambria" w:hAnsi="Cambria"/>
          <w:sz w:val="20"/>
          <w:szCs w:val="20"/>
          <w:lang w:val="es-ES_tradnl"/>
        </w:rPr>
        <w:footnoteReference w:id="88"/>
      </w:r>
      <w:r w:rsidRPr="00B42AC9">
        <w:rPr>
          <w:rFonts w:ascii="Cambria" w:hAnsi="Cambria"/>
          <w:sz w:val="20"/>
          <w:szCs w:val="20"/>
          <w:lang w:val="es-ES_tradnl"/>
        </w:rPr>
        <w:t>. La Comisión recuerda que el derecho a la propiedad no es absoluto y, en ese sentido, puede ser objeto de restricciones y limitaciones, siempre y cuando éstas se realicen por la vía legal adecuada y de conformidad con los parámetros establecidos en el artículo 21 de la Convención Americana</w:t>
      </w:r>
      <w:r w:rsidRPr="00B42AC9">
        <w:rPr>
          <w:rStyle w:val="FootnoteReference"/>
          <w:rFonts w:ascii="Cambria" w:hAnsi="Cambria"/>
          <w:sz w:val="20"/>
          <w:szCs w:val="20"/>
          <w:lang w:val="es-ES_tradnl"/>
        </w:rPr>
        <w:footnoteReference w:id="89"/>
      </w:r>
      <w:r w:rsidRPr="00B42AC9">
        <w:rPr>
          <w:rFonts w:ascii="Cambria" w:hAnsi="Cambria"/>
          <w:sz w:val="20"/>
          <w:szCs w:val="20"/>
          <w:lang w:val="es-ES_tradnl"/>
        </w:rPr>
        <w:t>.</w:t>
      </w:r>
    </w:p>
    <w:p w14:paraId="0E20414D" w14:textId="77777777" w:rsidR="00683E73" w:rsidRDefault="00683E73" w:rsidP="00683E7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sz w:val="20"/>
          <w:szCs w:val="20"/>
          <w:lang w:val="es-ES_tradnl"/>
        </w:rPr>
      </w:pPr>
    </w:p>
    <w:p w14:paraId="0675DAC0" w14:textId="77777777" w:rsidR="00683E73" w:rsidRDefault="00FA3022"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_tradnl"/>
        </w:rPr>
      </w:pPr>
      <w:r w:rsidRPr="00683E73">
        <w:rPr>
          <w:rFonts w:ascii="Cambria" w:hAnsi="Cambria"/>
          <w:sz w:val="20"/>
          <w:szCs w:val="20"/>
          <w:lang w:val="es-ES_tradnl"/>
        </w:rPr>
        <w:t>En</w:t>
      </w:r>
      <w:r w:rsidRPr="00683E73">
        <w:rPr>
          <w:rFonts w:ascii="Cambria" w:hAnsi="Cambria"/>
          <w:sz w:val="20"/>
          <w:szCs w:val="20"/>
        </w:rPr>
        <w:t xml:space="preserve"> el caso</w:t>
      </w:r>
      <w:r w:rsidRPr="00683E73">
        <w:rPr>
          <w:rFonts w:ascii="Cambria" w:hAnsi="Cambria"/>
          <w:i/>
          <w:sz w:val="20"/>
          <w:szCs w:val="20"/>
        </w:rPr>
        <w:t xml:space="preserve"> Cinco Pensionistas vs. Perú</w:t>
      </w:r>
      <w:r w:rsidRPr="00683E73">
        <w:rPr>
          <w:rFonts w:ascii="Cambria" w:hAnsi="Cambria"/>
          <w:sz w:val="20"/>
          <w:szCs w:val="20"/>
        </w:rPr>
        <w:t xml:space="preserve">, la Corte Interamericana declaró una violación del derecho a la propiedad por la afectación patrimonial causada por el incumplimiento de sentencias que pretendían proteger el derecho a una pensión, el cual había sido adquirido por las víctimas de conformidad con la </w:t>
      </w:r>
      <w:r w:rsidRPr="00683E73">
        <w:rPr>
          <w:rFonts w:ascii="Cambria" w:hAnsi="Cambria"/>
          <w:color w:val="auto"/>
          <w:sz w:val="20"/>
          <w:szCs w:val="20"/>
          <w:lang w:val="es-AR"/>
        </w:rPr>
        <w:t>normativa</w:t>
      </w:r>
      <w:r w:rsidRPr="00683E73">
        <w:rPr>
          <w:rFonts w:ascii="Cambria" w:hAnsi="Cambria"/>
          <w:sz w:val="20"/>
          <w:szCs w:val="20"/>
        </w:rPr>
        <w:t xml:space="preserve"> interna. En esa sentencia Corte señaló que, desde el momento en que un pensionista paga sus contribuciones a un fondo de pensiones y deja de prestar servicios a la institución concernida para acogerse al régimen de jubilaciones previsto en la ley, adquiere el derecho a que su pensión se rija en los términos y condiciones previstas en dicha ley. </w:t>
      </w:r>
    </w:p>
    <w:p w14:paraId="7255BEEE" w14:textId="77777777" w:rsidR="00683E73" w:rsidRDefault="00683E73" w:rsidP="00683E73">
      <w:pPr>
        <w:pStyle w:val="ListParagraph"/>
        <w:rPr>
          <w:color w:val="auto"/>
          <w:sz w:val="20"/>
          <w:szCs w:val="20"/>
          <w:lang w:val="es-AR"/>
        </w:rPr>
      </w:pPr>
    </w:p>
    <w:p w14:paraId="5E8A9FBA" w14:textId="77777777" w:rsidR="00683E73" w:rsidRDefault="00FA3022"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_tradnl"/>
        </w:rPr>
      </w:pPr>
      <w:r w:rsidRPr="00683E73">
        <w:rPr>
          <w:rFonts w:ascii="Cambria" w:hAnsi="Cambria"/>
          <w:color w:val="auto"/>
          <w:sz w:val="20"/>
          <w:szCs w:val="20"/>
          <w:lang w:val="es-AR"/>
        </w:rPr>
        <w:t>Asimismo</w:t>
      </w:r>
      <w:r w:rsidRPr="00683E73">
        <w:rPr>
          <w:rFonts w:ascii="Cambria" w:hAnsi="Cambria"/>
          <w:sz w:val="20"/>
          <w:szCs w:val="20"/>
        </w:rPr>
        <w:t>, la Corte declaró que el derecho a la pensión que adquiere dicha persona tiene “efectos patrimoniales”, los cuales están protegidos bajo el artículo 21 de la Convención Americana</w:t>
      </w:r>
      <w:r w:rsidRPr="00B42AC9">
        <w:rPr>
          <w:rStyle w:val="FootnoteReference"/>
          <w:rFonts w:ascii="Cambria" w:eastAsia="Times New Roman" w:hAnsi="Cambria"/>
          <w:sz w:val="20"/>
          <w:szCs w:val="20"/>
        </w:rPr>
        <w:footnoteReference w:id="90"/>
      </w:r>
      <w:r w:rsidRPr="00683E73">
        <w:rPr>
          <w:rFonts w:ascii="Cambria" w:hAnsi="Cambria"/>
          <w:sz w:val="20"/>
          <w:szCs w:val="20"/>
        </w:rPr>
        <w:t xml:space="preserve">. Consecuentemente, en aquél caso la Corte declaró que al haber cambiado arbitrariamente el monto de las pensiones que venían percibiendo las presuntas víctimas y al no haber dado cumplimiento a las sentencias judiciales emitidas con ocasión de las acciones de garantía interpuestas, el Estado </w:t>
      </w:r>
      <w:r w:rsidRPr="00683E73">
        <w:rPr>
          <w:rFonts w:ascii="Cambria" w:eastAsia="Times New Roman" w:hAnsi="Cambria"/>
          <w:sz w:val="20"/>
          <w:szCs w:val="20"/>
        </w:rPr>
        <w:t>violó el derecho a la propiedad reconocido en el artículo 21 de la Convención Americana</w:t>
      </w:r>
      <w:r w:rsidRPr="00B42AC9">
        <w:rPr>
          <w:rStyle w:val="FootnoteReference"/>
          <w:rFonts w:ascii="Cambria" w:eastAsia="Times New Roman" w:hAnsi="Cambria"/>
          <w:sz w:val="20"/>
          <w:szCs w:val="20"/>
        </w:rPr>
        <w:footnoteReference w:id="91"/>
      </w:r>
      <w:r w:rsidRPr="00683E73">
        <w:rPr>
          <w:rFonts w:ascii="Cambria" w:eastAsia="Times New Roman" w:hAnsi="Cambria"/>
          <w:sz w:val="20"/>
          <w:szCs w:val="20"/>
        </w:rPr>
        <w:t>.</w:t>
      </w:r>
    </w:p>
    <w:p w14:paraId="071E98BC" w14:textId="77777777" w:rsidR="00683E73" w:rsidRDefault="00683E73" w:rsidP="00683E73">
      <w:pPr>
        <w:pStyle w:val="ListParagraph"/>
        <w:rPr>
          <w:sz w:val="20"/>
          <w:szCs w:val="20"/>
          <w:lang w:val="es-ES_tradnl"/>
        </w:rPr>
      </w:pPr>
    </w:p>
    <w:p w14:paraId="3BD628EF" w14:textId="77777777" w:rsidR="00683E73" w:rsidRDefault="00FA3022"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_tradnl"/>
        </w:rPr>
      </w:pPr>
      <w:r w:rsidRPr="00683E73">
        <w:rPr>
          <w:rFonts w:ascii="Cambria" w:hAnsi="Cambria"/>
          <w:sz w:val="20"/>
          <w:szCs w:val="20"/>
          <w:lang w:val="es-ES_tradnl"/>
        </w:rPr>
        <w:t>Posteriormente</w:t>
      </w:r>
      <w:r w:rsidRPr="00683E73">
        <w:rPr>
          <w:rFonts w:ascii="Cambria" w:eastAsia="Times New Roman" w:hAnsi="Cambria"/>
          <w:sz w:val="20"/>
          <w:szCs w:val="20"/>
        </w:rPr>
        <w:t>, en la sentencia del caso</w:t>
      </w:r>
      <w:r w:rsidRPr="00683E73">
        <w:rPr>
          <w:rFonts w:ascii="Cambria" w:eastAsia="Times New Roman" w:hAnsi="Cambria"/>
          <w:i/>
          <w:sz w:val="20"/>
          <w:szCs w:val="20"/>
        </w:rPr>
        <w:t xml:space="preserve"> </w:t>
      </w:r>
      <w:r w:rsidRPr="00683E73">
        <w:rPr>
          <w:rFonts w:ascii="Cambria" w:eastAsia="Times New Roman" w:hAnsi="Cambria"/>
          <w:bCs/>
          <w:i/>
          <w:sz w:val="20"/>
          <w:szCs w:val="20"/>
          <w:shd w:val="clear" w:color="auto" w:fill="FFFFFF"/>
        </w:rPr>
        <w:t xml:space="preserve">Acevedo Buendía y otros ("Cesantes y Jubilados de la Contraloría") vs. </w:t>
      </w:r>
      <w:r w:rsidRPr="00683E73">
        <w:rPr>
          <w:rFonts w:ascii="Cambria" w:hAnsi="Cambria"/>
          <w:color w:val="auto"/>
          <w:sz w:val="20"/>
          <w:szCs w:val="20"/>
          <w:lang w:val="es-AR"/>
        </w:rPr>
        <w:t>Perú</w:t>
      </w:r>
      <w:r w:rsidRPr="00683E73">
        <w:rPr>
          <w:rFonts w:ascii="Cambria" w:eastAsia="Times New Roman" w:hAnsi="Cambria"/>
          <w:bCs/>
          <w:sz w:val="20"/>
          <w:szCs w:val="20"/>
          <w:shd w:val="clear" w:color="auto" w:fill="FFFFFF"/>
        </w:rPr>
        <w:t>, la Corte Interamericana analizó una situación similar sobre la falta de cumplimiento de sentencias que ordenaban a las víctimas acceder al régimen pensionario del Decreto Ley 20530. La Corte consideró que dichas víctimas cumplieron con los requisitos establecidos por dicho decreto y qu</w:t>
      </w:r>
      <w:r w:rsidRPr="00683E73">
        <w:rPr>
          <w:rFonts w:ascii="Cambria" w:eastAsia="Times New Roman" w:hAnsi="Cambria"/>
          <w:sz w:val="20"/>
          <w:szCs w:val="20"/>
        </w:rPr>
        <w:t>e el derecho a la pensión que adquirieron generó un efecto en el patrimonio de éstas, quienes recibían los montos correspondientes cada mes</w:t>
      </w:r>
      <w:r w:rsidRPr="00B42AC9">
        <w:rPr>
          <w:rStyle w:val="FootnoteReference"/>
          <w:rFonts w:ascii="Cambria" w:eastAsia="Times New Roman" w:hAnsi="Cambria"/>
          <w:sz w:val="20"/>
          <w:szCs w:val="20"/>
        </w:rPr>
        <w:footnoteReference w:id="92"/>
      </w:r>
      <w:r w:rsidRPr="00683E73">
        <w:rPr>
          <w:rFonts w:ascii="Cambria" w:eastAsia="Times New Roman" w:hAnsi="Cambria"/>
          <w:sz w:val="20"/>
          <w:szCs w:val="20"/>
        </w:rPr>
        <w:t>. La Corte tomó en cuenta que el Tribunal Constitucional emitió sentencias mediante las cuales en donde ordenó al Estado reintegrar a las víctimas los montos pensionarios retenidos. En virtud de ello, la Corte consideró que se afectó a las víctimas en tanto no “pudieron gozar integralmente de su derecho a la propiedad sobre los efectos patrimoniales de su pensión nivelable, legalmente reconocida, entendiendo aquéllos como los montos dejados de percibir”</w:t>
      </w:r>
      <w:r w:rsidRPr="00B42AC9">
        <w:rPr>
          <w:rStyle w:val="FootnoteReference"/>
          <w:rFonts w:ascii="Cambria" w:eastAsia="Times New Roman" w:hAnsi="Cambria"/>
          <w:sz w:val="20"/>
          <w:szCs w:val="20"/>
        </w:rPr>
        <w:footnoteReference w:id="93"/>
      </w:r>
      <w:r w:rsidRPr="00683E73">
        <w:rPr>
          <w:rFonts w:ascii="Cambria" w:eastAsia="Times New Roman" w:hAnsi="Cambria"/>
          <w:sz w:val="20"/>
          <w:szCs w:val="20"/>
        </w:rPr>
        <w:t>.</w:t>
      </w:r>
    </w:p>
    <w:p w14:paraId="21ED1AFD" w14:textId="77777777" w:rsidR="00683E73" w:rsidRPr="00683E73" w:rsidRDefault="00683E73" w:rsidP="00683E73">
      <w:pPr>
        <w:pStyle w:val="ListParagraph"/>
        <w:rPr>
          <w:sz w:val="20"/>
          <w:szCs w:val="20"/>
          <w:lang w:val="es-VE"/>
        </w:rPr>
      </w:pPr>
    </w:p>
    <w:p w14:paraId="20311E4D" w14:textId="77777777" w:rsidR="00683E73" w:rsidRDefault="000642CD"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_tradnl"/>
        </w:rPr>
      </w:pPr>
      <w:r w:rsidRPr="00683E73">
        <w:rPr>
          <w:rFonts w:ascii="Cambria" w:hAnsi="Cambria"/>
          <w:sz w:val="20"/>
          <w:szCs w:val="20"/>
        </w:rPr>
        <w:t>La Comisión considera que dichos precedentes resultan plenamente aplicables al presente caso. Ello en tanto</w:t>
      </w:r>
      <w:r w:rsidR="0017757B" w:rsidRPr="00683E73">
        <w:rPr>
          <w:rFonts w:ascii="Cambria" w:hAnsi="Cambria"/>
          <w:sz w:val="20"/>
          <w:szCs w:val="20"/>
        </w:rPr>
        <w:t>: i)</w:t>
      </w:r>
      <w:r w:rsidRPr="00683E73">
        <w:rPr>
          <w:rFonts w:ascii="Cambria" w:hAnsi="Cambria"/>
          <w:sz w:val="20"/>
          <w:szCs w:val="20"/>
        </w:rPr>
        <w:t xml:space="preserve"> las víctimas presentaron recursos judiciales a efectos de</w:t>
      </w:r>
      <w:r w:rsidR="00DC2D43" w:rsidRPr="00683E73">
        <w:rPr>
          <w:rFonts w:ascii="Cambria" w:hAnsi="Cambria"/>
          <w:sz w:val="20"/>
          <w:szCs w:val="20"/>
        </w:rPr>
        <w:t xml:space="preserve"> </w:t>
      </w:r>
      <w:r w:rsidR="00130C2C" w:rsidRPr="00683E73">
        <w:rPr>
          <w:rFonts w:ascii="Cambria" w:hAnsi="Cambria"/>
          <w:sz w:val="20"/>
          <w:szCs w:val="20"/>
        </w:rPr>
        <w:t>que les fueran reconocidos los montos derivados de los aportes que consideraban que legalmente les correspondían</w:t>
      </w:r>
      <w:r w:rsidR="0017757B" w:rsidRPr="00683E73">
        <w:rPr>
          <w:rFonts w:ascii="Cambria" w:hAnsi="Cambria"/>
          <w:sz w:val="20"/>
          <w:szCs w:val="20"/>
        </w:rPr>
        <w:t xml:space="preserve">; ii) </w:t>
      </w:r>
      <w:r w:rsidRPr="00683E73">
        <w:rPr>
          <w:rFonts w:ascii="Cambria" w:hAnsi="Cambria"/>
          <w:sz w:val="20"/>
          <w:szCs w:val="20"/>
        </w:rPr>
        <w:t>contaron con sentencias judiciales en firme favorables a su pretensión</w:t>
      </w:r>
      <w:r w:rsidR="0010067E" w:rsidRPr="00683E73">
        <w:rPr>
          <w:rFonts w:ascii="Cambria" w:hAnsi="Cambria"/>
          <w:sz w:val="20"/>
          <w:szCs w:val="20"/>
        </w:rPr>
        <w:t xml:space="preserve"> y, por lo tanto, tales montos ingresaron al patrimonio de las víctimas</w:t>
      </w:r>
      <w:r w:rsidRPr="00683E73">
        <w:rPr>
          <w:rFonts w:ascii="Cambria" w:hAnsi="Cambria"/>
          <w:sz w:val="20"/>
          <w:szCs w:val="20"/>
        </w:rPr>
        <w:t xml:space="preserve">; y </w:t>
      </w:r>
      <w:r w:rsidR="007F5622" w:rsidRPr="00683E73">
        <w:rPr>
          <w:rFonts w:ascii="Cambria" w:hAnsi="Cambria"/>
          <w:sz w:val="20"/>
          <w:szCs w:val="20"/>
        </w:rPr>
        <w:t>iii</w:t>
      </w:r>
      <w:r w:rsidRPr="00683E73">
        <w:rPr>
          <w:rFonts w:ascii="Cambria" w:hAnsi="Cambria"/>
          <w:sz w:val="20"/>
          <w:szCs w:val="20"/>
        </w:rPr>
        <w:t xml:space="preserve">) a la fecha no se ha cumplido con la ejecución de dichos fallos. </w:t>
      </w:r>
    </w:p>
    <w:p w14:paraId="176420E7" w14:textId="77777777" w:rsidR="00683E73" w:rsidRPr="00683E73" w:rsidRDefault="00683E73" w:rsidP="00683E73">
      <w:pPr>
        <w:pStyle w:val="ListParagraph"/>
        <w:rPr>
          <w:sz w:val="20"/>
          <w:szCs w:val="20"/>
          <w:lang w:val="es-VE"/>
        </w:rPr>
      </w:pPr>
    </w:p>
    <w:p w14:paraId="774F08D8" w14:textId="77777777" w:rsidR="00AC6475" w:rsidRPr="00683E73" w:rsidRDefault="000642CD"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sz w:val="20"/>
          <w:szCs w:val="20"/>
          <w:lang w:val="es-ES_tradnl"/>
        </w:rPr>
      </w:pPr>
      <w:r w:rsidRPr="00683E73">
        <w:rPr>
          <w:rFonts w:ascii="Cambria" w:hAnsi="Cambria"/>
          <w:sz w:val="20"/>
          <w:szCs w:val="20"/>
        </w:rPr>
        <w:t xml:space="preserve">En conclusión, la Comisión considera que el Estado </w:t>
      </w:r>
      <w:r w:rsidR="00D63D4C" w:rsidRPr="00683E73">
        <w:rPr>
          <w:rFonts w:ascii="Cambria" w:hAnsi="Cambria"/>
          <w:sz w:val="20"/>
          <w:szCs w:val="20"/>
        </w:rPr>
        <w:t xml:space="preserve">chileno </w:t>
      </w:r>
      <w:r w:rsidRPr="00683E73">
        <w:rPr>
          <w:rFonts w:ascii="Cambria" w:hAnsi="Cambria"/>
          <w:sz w:val="20"/>
          <w:szCs w:val="20"/>
        </w:rPr>
        <w:t xml:space="preserve">es responsable por la violación del derecho a la propiedad privada establecido en el artículo 21 de la Convención Americana en relación con las obligaciones establecidas en </w:t>
      </w:r>
      <w:r w:rsidR="006C0EC0" w:rsidRPr="00683E73">
        <w:rPr>
          <w:rFonts w:ascii="Cambria" w:hAnsi="Cambria"/>
          <w:sz w:val="20"/>
          <w:szCs w:val="20"/>
        </w:rPr>
        <w:t xml:space="preserve">los </w:t>
      </w:r>
      <w:r w:rsidRPr="00683E73">
        <w:rPr>
          <w:rFonts w:ascii="Cambria" w:hAnsi="Cambria"/>
          <w:sz w:val="20"/>
          <w:szCs w:val="20"/>
        </w:rPr>
        <w:t>artículo</w:t>
      </w:r>
      <w:r w:rsidR="006C0EC0" w:rsidRPr="00683E73">
        <w:rPr>
          <w:rFonts w:ascii="Cambria" w:hAnsi="Cambria"/>
          <w:sz w:val="20"/>
          <w:szCs w:val="20"/>
        </w:rPr>
        <w:t>s</w:t>
      </w:r>
      <w:r w:rsidRPr="00683E73">
        <w:rPr>
          <w:rFonts w:ascii="Cambria" w:hAnsi="Cambria"/>
          <w:sz w:val="20"/>
          <w:szCs w:val="20"/>
        </w:rPr>
        <w:t xml:space="preserve"> 1.1</w:t>
      </w:r>
      <w:r w:rsidR="006C0EC0" w:rsidRPr="00683E73">
        <w:rPr>
          <w:rFonts w:ascii="Cambria" w:hAnsi="Cambria"/>
          <w:sz w:val="20"/>
          <w:szCs w:val="20"/>
        </w:rPr>
        <w:t xml:space="preserve"> y 2</w:t>
      </w:r>
      <w:r w:rsidRPr="00683E73">
        <w:rPr>
          <w:rFonts w:ascii="Cambria" w:hAnsi="Cambria"/>
          <w:sz w:val="20"/>
          <w:szCs w:val="20"/>
        </w:rPr>
        <w:t xml:space="preserve"> del mismo instrumento </w:t>
      </w:r>
      <w:r w:rsidR="006C0EC0" w:rsidRPr="00683E73">
        <w:rPr>
          <w:rFonts w:ascii="Cambria" w:hAnsi="Cambria"/>
          <w:color w:val="auto"/>
          <w:sz w:val="20"/>
          <w:szCs w:val="20"/>
          <w:lang w:val="es-AR"/>
        </w:rPr>
        <w:t>en perjuicio de la totalidad de víctimas del presente caso, beneficiarias de las 13 decisiones judiciales, conforme se individualiza en el Anexo Único de víctimas del presente informe de fondo.</w:t>
      </w:r>
      <w:r w:rsidR="003D67C7" w:rsidRPr="00683E73">
        <w:rPr>
          <w:color w:val="000000" w:themeColor="text1"/>
          <w:sz w:val="20"/>
          <w:szCs w:val="20"/>
          <w:lang w:val="es-CL"/>
        </w:rPr>
        <w:t xml:space="preserve"> </w:t>
      </w:r>
      <w:r w:rsidR="00387162" w:rsidRPr="00683E73">
        <w:rPr>
          <w:color w:val="365F91" w:themeColor="accent1" w:themeShade="BF"/>
          <w:sz w:val="20"/>
          <w:szCs w:val="20"/>
          <w:lang w:val="es-US"/>
        </w:rPr>
        <w:t xml:space="preserve"> </w:t>
      </w:r>
      <w:r w:rsidR="00AC6475" w:rsidRPr="00683E73">
        <w:rPr>
          <w:color w:val="FF0000"/>
          <w:sz w:val="20"/>
          <w:szCs w:val="20"/>
          <w:lang w:val="es-CL"/>
        </w:rPr>
        <w:t xml:space="preserve"> </w:t>
      </w:r>
    </w:p>
    <w:p w14:paraId="2E1338E3" w14:textId="77777777" w:rsidR="00307D43" w:rsidRPr="00AC6475" w:rsidRDefault="00307D43" w:rsidP="00307D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FF0000"/>
          <w:sz w:val="20"/>
          <w:szCs w:val="20"/>
          <w:lang w:val="es-CL"/>
        </w:rPr>
      </w:pPr>
    </w:p>
    <w:p w14:paraId="327A1E07" w14:textId="77777777" w:rsidR="00D12193" w:rsidRPr="00E909AA" w:rsidRDefault="00D12193" w:rsidP="00683E73">
      <w:pPr>
        <w:pStyle w:val="Heading1"/>
        <w:ind w:left="540" w:hanging="540"/>
      </w:pPr>
      <w:bookmarkStart w:id="35" w:name="_Toc532549558"/>
      <w:bookmarkStart w:id="36" w:name="_Toc5020351"/>
      <w:r w:rsidRPr="00E909AA">
        <w:t>CONCLUSIONES Y RECOMENDACIONES</w:t>
      </w:r>
      <w:bookmarkEnd w:id="35"/>
      <w:bookmarkEnd w:id="36"/>
      <w:r w:rsidRPr="00E909AA">
        <w:t xml:space="preserve"> </w:t>
      </w:r>
    </w:p>
    <w:p w14:paraId="11DEC9EA" w14:textId="77777777" w:rsidR="00D12193" w:rsidRDefault="00D12193" w:rsidP="00D12193">
      <w:pPr>
        <w:suppressAutoHyphens/>
        <w:rPr>
          <w:b/>
          <w:sz w:val="20"/>
          <w:szCs w:val="20"/>
          <w:lang w:val="es-ES_tradnl"/>
        </w:rPr>
      </w:pPr>
    </w:p>
    <w:p w14:paraId="2AF4C18B" w14:textId="77777777" w:rsidR="00683E73" w:rsidRDefault="00632E94"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lang w:val="es-VE"/>
        </w:rPr>
      </w:pPr>
      <w:r w:rsidRPr="00A814FA">
        <w:rPr>
          <w:rFonts w:ascii="Cambria" w:hAnsi="Cambria"/>
          <w:color w:val="000000" w:themeColor="text1"/>
          <w:sz w:val="20"/>
          <w:szCs w:val="20"/>
          <w:lang w:val="es-VE"/>
        </w:rPr>
        <w:t xml:space="preserve">Con </w:t>
      </w:r>
      <w:r w:rsidRPr="005569D3">
        <w:rPr>
          <w:rFonts w:ascii="Cambria" w:hAnsi="Cambria"/>
          <w:color w:val="auto"/>
          <w:sz w:val="20"/>
          <w:szCs w:val="20"/>
          <w:lang w:val="es-VE"/>
        </w:rPr>
        <w:t>base en las determinaciones de hecho y de derecho, la Comisión Interamericana concluye que el Estado es responsable por la violación de los artículos 8</w:t>
      </w:r>
      <w:r w:rsidR="001B424B" w:rsidRPr="005569D3">
        <w:rPr>
          <w:rFonts w:ascii="Cambria" w:hAnsi="Cambria"/>
          <w:color w:val="auto"/>
          <w:sz w:val="20"/>
          <w:szCs w:val="20"/>
          <w:lang w:val="es-VE"/>
        </w:rPr>
        <w:t xml:space="preserve">.1 </w:t>
      </w:r>
      <w:r w:rsidRPr="005569D3">
        <w:rPr>
          <w:rFonts w:ascii="Cambria" w:hAnsi="Cambria"/>
          <w:color w:val="auto"/>
          <w:sz w:val="20"/>
          <w:szCs w:val="20"/>
          <w:lang w:val="es-VE"/>
        </w:rPr>
        <w:t>(debido proceso), 21 (propiedad privada), 25</w:t>
      </w:r>
      <w:r w:rsidR="001B424B" w:rsidRPr="005569D3">
        <w:rPr>
          <w:rFonts w:ascii="Cambria" w:hAnsi="Cambria"/>
          <w:color w:val="auto"/>
          <w:sz w:val="20"/>
          <w:szCs w:val="20"/>
          <w:lang w:val="es-VE"/>
        </w:rPr>
        <w:t>.1</w:t>
      </w:r>
      <w:r w:rsidR="00465594" w:rsidRPr="005569D3">
        <w:rPr>
          <w:rFonts w:ascii="Cambria" w:hAnsi="Cambria"/>
          <w:color w:val="auto"/>
          <w:sz w:val="20"/>
          <w:szCs w:val="20"/>
          <w:lang w:val="es-VE"/>
        </w:rPr>
        <w:t xml:space="preserve"> y 25.2 c)</w:t>
      </w:r>
      <w:r w:rsidRPr="005569D3">
        <w:rPr>
          <w:rFonts w:ascii="Cambria" w:hAnsi="Cambria"/>
          <w:color w:val="auto"/>
          <w:sz w:val="20"/>
          <w:szCs w:val="20"/>
          <w:lang w:val="es-VE"/>
        </w:rPr>
        <w:t xml:space="preserve"> (recurso efectivo) de la Convención Americana, en relación con las obligaciones establecidas en los artícul</w:t>
      </w:r>
      <w:r w:rsidR="00AB1382" w:rsidRPr="005569D3">
        <w:rPr>
          <w:rFonts w:ascii="Cambria" w:hAnsi="Cambria"/>
          <w:color w:val="auto"/>
          <w:sz w:val="20"/>
          <w:szCs w:val="20"/>
          <w:lang w:val="es-VE"/>
        </w:rPr>
        <w:t xml:space="preserve">os </w:t>
      </w:r>
      <w:r w:rsidRPr="005569D3">
        <w:rPr>
          <w:rFonts w:ascii="Cambria" w:hAnsi="Cambria"/>
          <w:color w:val="auto"/>
          <w:sz w:val="20"/>
          <w:szCs w:val="20"/>
          <w:lang w:val="es-VE"/>
        </w:rPr>
        <w:t>1.1</w:t>
      </w:r>
      <w:r w:rsidR="00AB1382" w:rsidRPr="005569D3">
        <w:rPr>
          <w:rFonts w:ascii="Cambria" w:hAnsi="Cambria"/>
          <w:color w:val="auto"/>
          <w:sz w:val="20"/>
          <w:szCs w:val="20"/>
          <w:lang w:val="es-VE"/>
        </w:rPr>
        <w:t xml:space="preserve"> y 2 </w:t>
      </w:r>
      <w:r w:rsidRPr="005569D3">
        <w:rPr>
          <w:rFonts w:ascii="Cambria" w:hAnsi="Cambria"/>
          <w:color w:val="auto"/>
          <w:sz w:val="20"/>
          <w:szCs w:val="20"/>
          <w:lang w:val="es-VE"/>
        </w:rPr>
        <w:t xml:space="preserve">del mismo instrumento. </w:t>
      </w:r>
    </w:p>
    <w:p w14:paraId="0AB1B96E" w14:textId="77777777" w:rsidR="00683E73" w:rsidRDefault="00683E73" w:rsidP="00683E7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auto"/>
          <w:sz w:val="20"/>
          <w:szCs w:val="20"/>
          <w:lang w:val="es-VE"/>
        </w:rPr>
      </w:pPr>
    </w:p>
    <w:p w14:paraId="5F2372D2" w14:textId="77777777" w:rsidR="00683E73" w:rsidRDefault="00683E73" w:rsidP="00683E7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auto"/>
          <w:sz w:val="20"/>
          <w:szCs w:val="20"/>
          <w:lang w:val="es-VE"/>
        </w:rPr>
      </w:pPr>
    </w:p>
    <w:p w14:paraId="6DF8D587" w14:textId="77777777" w:rsidR="00683E73" w:rsidRDefault="00683E73" w:rsidP="00683E7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jc w:val="both"/>
        <w:rPr>
          <w:rFonts w:ascii="Cambria" w:hAnsi="Cambria"/>
          <w:color w:val="auto"/>
          <w:sz w:val="20"/>
          <w:szCs w:val="20"/>
          <w:lang w:val="es-VE"/>
        </w:rPr>
      </w:pPr>
    </w:p>
    <w:p w14:paraId="7E2483D1" w14:textId="77777777" w:rsidR="00006896" w:rsidRPr="00683E73" w:rsidRDefault="00006896" w:rsidP="00683E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440"/>
        </w:tabs>
        <w:ind w:left="0" w:firstLine="0"/>
        <w:jc w:val="both"/>
        <w:rPr>
          <w:rFonts w:ascii="Cambria" w:hAnsi="Cambria"/>
          <w:color w:val="auto"/>
          <w:sz w:val="20"/>
          <w:szCs w:val="20"/>
          <w:lang w:val="es-VE"/>
        </w:rPr>
      </w:pPr>
      <w:r w:rsidRPr="00683E73">
        <w:rPr>
          <w:rFonts w:ascii="Cambria" w:hAnsi="Cambria"/>
          <w:color w:val="auto"/>
          <w:sz w:val="20"/>
          <w:szCs w:val="20"/>
          <w:lang w:val="es-VE"/>
        </w:rPr>
        <w:t>En</w:t>
      </w:r>
      <w:r w:rsidRPr="00683E73">
        <w:rPr>
          <w:rFonts w:ascii="Cambria" w:hAnsi="Cambria"/>
          <w:color w:val="auto"/>
          <w:sz w:val="20"/>
          <w:szCs w:val="20"/>
          <w:lang w:val="es-ES_tradnl"/>
        </w:rPr>
        <w:t xml:space="preserve"> </w:t>
      </w:r>
      <w:r w:rsidRPr="00683E73">
        <w:rPr>
          <w:rFonts w:ascii="Cambria" w:hAnsi="Cambria"/>
          <w:color w:val="auto"/>
          <w:sz w:val="20"/>
          <w:szCs w:val="20"/>
        </w:rPr>
        <w:t>virtud</w:t>
      </w:r>
      <w:r w:rsidRPr="00683E73">
        <w:rPr>
          <w:rFonts w:ascii="Cambria" w:hAnsi="Cambria"/>
          <w:color w:val="auto"/>
          <w:sz w:val="20"/>
          <w:szCs w:val="20"/>
          <w:lang w:val="es-ES_tradnl"/>
        </w:rPr>
        <w:t xml:space="preserve"> de las anteriores conclusiones,</w:t>
      </w:r>
      <w:r w:rsidR="005F309E" w:rsidRPr="00683E73">
        <w:rPr>
          <w:color w:val="auto"/>
          <w:sz w:val="20"/>
          <w:szCs w:val="20"/>
          <w:lang w:val="es-ES_tradnl"/>
        </w:rPr>
        <w:t xml:space="preserve"> </w:t>
      </w:r>
    </w:p>
    <w:p w14:paraId="59E1D8CB" w14:textId="77777777" w:rsidR="00006896" w:rsidRPr="00175716" w:rsidRDefault="00006896" w:rsidP="00006896">
      <w:pPr>
        <w:suppressAutoHyphens/>
        <w:jc w:val="both"/>
        <w:rPr>
          <w:sz w:val="20"/>
          <w:szCs w:val="20"/>
          <w:lang w:val="es-ES_tradnl"/>
        </w:rPr>
      </w:pPr>
    </w:p>
    <w:p w14:paraId="4846C4EE" w14:textId="77777777" w:rsidR="00006896" w:rsidRPr="00C4393B" w:rsidRDefault="00006896" w:rsidP="00632E94">
      <w:pPr>
        <w:jc w:val="both"/>
        <w:rPr>
          <w:rFonts w:ascii="Cambria" w:hAnsi="Cambria"/>
          <w:b/>
          <w:color w:val="auto"/>
          <w:sz w:val="20"/>
          <w:szCs w:val="20"/>
          <w:lang w:val="es-ES_tradnl"/>
        </w:rPr>
      </w:pPr>
      <w:r w:rsidRPr="00CB025A">
        <w:rPr>
          <w:rFonts w:ascii="Cambria" w:hAnsi="Cambria"/>
          <w:b/>
          <w:sz w:val="20"/>
          <w:szCs w:val="20"/>
          <w:lang w:val="es-ES_tradnl"/>
        </w:rPr>
        <w:t xml:space="preserve">LA COMISIÓN INTERAMERICANA DE DERECHOS HUMANOS, RECOMIENDA AL ESTADO </w:t>
      </w:r>
      <w:r w:rsidRPr="00C4393B">
        <w:rPr>
          <w:rFonts w:ascii="Cambria" w:hAnsi="Cambria"/>
          <w:b/>
          <w:color w:val="auto"/>
          <w:sz w:val="20"/>
          <w:szCs w:val="20"/>
          <w:lang w:val="es-ES_tradnl"/>
        </w:rPr>
        <w:t xml:space="preserve">DE </w:t>
      </w:r>
      <w:r w:rsidR="00476095" w:rsidRPr="00C4393B">
        <w:rPr>
          <w:rFonts w:ascii="Cambria" w:hAnsi="Cambria"/>
          <w:b/>
          <w:color w:val="auto"/>
          <w:sz w:val="20"/>
          <w:szCs w:val="20"/>
          <w:lang w:val="es-ES_tradnl"/>
        </w:rPr>
        <w:t>CHILE</w:t>
      </w:r>
      <w:r w:rsidRPr="00C4393B">
        <w:rPr>
          <w:rFonts w:ascii="Cambria" w:hAnsi="Cambria"/>
          <w:b/>
          <w:color w:val="auto"/>
          <w:sz w:val="20"/>
          <w:szCs w:val="20"/>
          <w:lang w:val="es-ES_tradnl"/>
        </w:rPr>
        <w:t>,</w:t>
      </w:r>
    </w:p>
    <w:p w14:paraId="5DFDA87D" w14:textId="77777777" w:rsidR="00006896" w:rsidRPr="00CB025A" w:rsidRDefault="00006896" w:rsidP="0000689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Times New Roman" w:hAnsi="Helvetica"/>
          <w:color w:val="666666"/>
          <w:sz w:val="15"/>
          <w:szCs w:val="15"/>
          <w:bdr w:val="none" w:sz="0" w:space="0" w:color="auto"/>
          <w:lang w:val="es-US"/>
        </w:rPr>
      </w:pPr>
    </w:p>
    <w:p w14:paraId="6735AEEE" w14:textId="77777777" w:rsidR="00E359DA" w:rsidRPr="00DF3A10" w:rsidRDefault="00E359DA" w:rsidP="00683E7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540" w:right="720" w:hanging="540"/>
        <w:jc w:val="both"/>
        <w:rPr>
          <w:rFonts w:ascii="Cambria" w:eastAsia="Times New Roman" w:hAnsi="Cambria"/>
          <w:color w:val="auto"/>
          <w:sz w:val="20"/>
          <w:szCs w:val="20"/>
          <w:bdr w:val="none" w:sz="0" w:space="0" w:color="auto"/>
        </w:rPr>
      </w:pPr>
      <w:r w:rsidRPr="007B2915">
        <w:rPr>
          <w:rFonts w:ascii="Cambria" w:eastAsia="Times New Roman" w:hAnsi="Cambria"/>
          <w:sz w:val="20"/>
          <w:szCs w:val="20"/>
          <w:bdr w:val="none" w:sz="0" w:space="0" w:color="auto"/>
        </w:rPr>
        <w:t>Dar cumplimiento a la mayor brevedad posible a las</w:t>
      </w:r>
      <w:r w:rsidR="00914526">
        <w:rPr>
          <w:rFonts w:ascii="Cambria" w:eastAsia="Times New Roman" w:hAnsi="Cambria"/>
          <w:sz w:val="20"/>
          <w:szCs w:val="20"/>
          <w:bdr w:val="none" w:sz="0" w:space="0" w:color="auto"/>
        </w:rPr>
        <w:t xml:space="preserve"> 13</w:t>
      </w:r>
      <w:r w:rsidRPr="007B2915">
        <w:rPr>
          <w:rFonts w:ascii="Cambria" w:eastAsia="Times New Roman" w:hAnsi="Cambria"/>
          <w:sz w:val="20"/>
          <w:szCs w:val="20"/>
          <w:bdr w:val="none" w:sz="0" w:space="0" w:color="auto"/>
        </w:rPr>
        <w:t xml:space="preserve"> sentencias </w:t>
      </w:r>
      <w:r w:rsidR="00C4393B">
        <w:rPr>
          <w:rFonts w:ascii="Cambria" w:eastAsia="Times New Roman" w:hAnsi="Cambria"/>
          <w:sz w:val="20"/>
          <w:szCs w:val="20"/>
          <w:bdr w:val="none" w:sz="0" w:space="0" w:color="auto"/>
        </w:rPr>
        <w:t>enumeradas en el presente informe</w:t>
      </w:r>
      <w:r w:rsidRPr="007B2915">
        <w:rPr>
          <w:rFonts w:ascii="Cambria" w:eastAsia="Times New Roman" w:hAnsi="Cambria"/>
          <w:sz w:val="20"/>
          <w:szCs w:val="20"/>
          <w:bdr w:val="none" w:sz="0" w:space="0" w:color="auto"/>
        </w:rPr>
        <w:t xml:space="preserve">. Esto implica la adopción inmediata por parte del Estado </w:t>
      </w:r>
      <w:r w:rsidR="00632E94">
        <w:rPr>
          <w:rFonts w:ascii="Cambria" w:eastAsia="Times New Roman" w:hAnsi="Cambria"/>
          <w:sz w:val="20"/>
          <w:szCs w:val="20"/>
          <w:bdr w:val="none" w:sz="0" w:space="0" w:color="auto"/>
        </w:rPr>
        <w:t>chileno</w:t>
      </w:r>
      <w:r w:rsidRPr="007B2915">
        <w:rPr>
          <w:rFonts w:ascii="Cambria" w:eastAsia="Times New Roman" w:hAnsi="Cambria"/>
          <w:sz w:val="20"/>
          <w:szCs w:val="20"/>
          <w:bdr w:val="none" w:sz="0" w:space="0" w:color="auto"/>
        </w:rPr>
        <w:t xml:space="preserve"> de las m</w:t>
      </w:r>
      <w:r w:rsidRPr="00DF3A10">
        <w:rPr>
          <w:rFonts w:ascii="Cambria" w:eastAsia="Times New Roman" w:hAnsi="Cambria"/>
          <w:color w:val="auto"/>
          <w:sz w:val="20"/>
          <w:szCs w:val="20"/>
          <w:bdr w:val="none" w:sz="0" w:space="0" w:color="auto"/>
        </w:rPr>
        <w:t xml:space="preserve">edidas necesarias para el pago de </w:t>
      </w:r>
      <w:r w:rsidR="00C4393B" w:rsidRPr="00DF3A10">
        <w:rPr>
          <w:rFonts w:ascii="Cambria" w:eastAsia="Times New Roman" w:hAnsi="Cambria"/>
          <w:color w:val="auto"/>
          <w:sz w:val="20"/>
          <w:szCs w:val="20"/>
          <w:bdr w:val="none" w:sz="0" w:space="0" w:color="auto"/>
        </w:rPr>
        <w:t xml:space="preserve">los montos reconocidos a favor de las personas que se encuentran individualizadas en </w:t>
      </w:r>
      <w:r w:rsidR="00632E94" w:rsidRPr="00DF3A10">
        <w:rPr>
          <w:rFonts w:ascii="Cambria" w:eastAsia="Times New Roman" w:hAnsi="Cambria"/>
          <w:color w:val="auto"/>
          <w:sz w:val="20"/>
          <w:szCs w:val="20"/>
          <w:bdr w:val="none" w:sz="0" w:space="0" w:color="auto"/>
        </w:rPr>
        <w:t xml:space="preserve">el Anexo </w:t>
      </w:r>
      <w:r w:rsidR="00C4393B" w:rsidRPr="00DF3A10">
        <w:rPr>
          <w:rFonts w:ascii="Cambria" w:eastAsia="Times New Roman" w:hAnsi="Cambria"/>
          <w:color w:val="auto"/>
          <w:sz w:val="20"/>
          <w:szCs w:val="20"/>
          <w:bdr w:val="none" w:sz="0" w:space="0" w:color="auto"/>
        </w:rPr>
        <w:t xml:space="preserve">del presente informe o sus derechohabientes, </w:t>
      </w:r>
      <w:r w:rsidRPr="00DF3A10">
        <w:rPr>
          <w:rFonts w:ascii="Cambria" w:eastAsia="Times New Roman" w:hAnsi="Cambria"/>
          <w:color w:val="auto"/>
          <w:sz w:val="20"/>
          <w:szCs w:val="20"/>
          <w:bdr w:val="none" w:sz="0" w:space="0" w:color="auto"/>
        </w:rPr>
        <w:t>en los términos en los cuales le</w:t>
      </w:r>
      <w:r w:rsidR="00C4393B" w:rsidRPr="00DF3A10">
        <w:rPr>
          <w:rFonts w:ascii="Cambria" w:eastAsia="Times New Roman" w:hAnsi="Cambria"/>
          <w:color w:val="auto"/>
          <w:sz w:val="20"/>
          <w:szCs w:val="20"/>
          <w:bdr w:val="none" w:sz="0" w:space="0" w:color="auto"/>
        </w:rPr>
        <w:t>s</w:t>
      </w:r>
      <w:r w:rsidRPr="00DF3A10">
        <w:rPr>
          <w:rFonts w:ascii="Cambria" w:eastAsia="Times New Roman" w:hAnsi="Cambria"/>
          <w:color w:val="auto"/>
          <w:sz w:val="20"/>
          <w:szCs w:val="20"/>
          <w:bdr w:val="none" w:sz="0" w:space="0" w:color="auto"/>
        </w:rPr>
        <w:t xml:space="preserve"> fue reconocido judicialment</w:t>
      </w:r>
      <w:r w:rsidR="00C4393B" w:rsidRPr="00DF3A10">
        <w:rPr>
          <w:rFonts w:ascii="Cambria" w:eastAsia="Times New Roman" w:hAnsi="Cambria"/>
          <w:color w:val="auto"/>
          <w:sz w:val="20"/>
          <w:szCs w:val="20"/>
          <w:bdr w:val="none" w:sz="0" w:space="0" w:color="auto"/>
        </w:rPr>
        <w:t>e</w:t>
      </w:r>
      <w:r w:rsidRPr="00DF3A10">
        <w:rPr>
          <w:rFonts w:ascii="Cambria" w:eastAsia="Times New Roman" w:hAnsi="Cambria"/>
          <w:color w:val="auto"/>
          <w:sz w:val="20"/>
          <w:szCs w:val="20"/>
          <w:bdr w:val="none" w:sz="0" w:space="0" w:color="auto"/>
        </w:rPr>
        <w:t xml:space="preserve">. Tomando en cuenta los estándares desarrollados en el presente informe sobre las obligaciones del Estado, </w:t>
      </w:r>
      <w:r w:rsidR="00C4393B" w:rsidRPr="00DF3A10">
        <w:rPr>
          <w:rFonts w:ascii="Cambria" w:eastAsia="Times New Roman" w:hAnsi="Cambria"/>
          <w:color w:val="auto"/>
          <w:sz w:val="20"/>
          <w:szCs w:val="20"/>
          <w:bdr w:val="none" w:sz="0" w:space="0" w:color="auto"/>
        </w:rPr>
        <w:t>Chile no podrá oponer la condición de “corporación autónoma” de las Municipalidades</w:t>
      </w:r>
      <w:r w:rsidRPr="00DF3A10">
        <w:rPr>
          <w:rFonts w:ascii="Cambria" w:eastAsia="Times New Roman" w:hAnsi="Cambria"/>
          <w:color w:val="auto"/>
          <w:sz w:val="20"/>
          <w:szCs w:val="20"/>
          <w:bdr w:val="none" w:sz="0" w:space="0" w:color="auto"/>
        </w:rPr>
        <w:t xml:space="preserve"> </w:t>
      </w:r>
      <w:r w:rsidR="00632E94" w:rsidRPr="00DF3A10">
        <w:rPr>
          <w:rFonts w:ascii="Cambria" w:eastAsia="Times New Roman" w:hAnsi="Cambria"/>
          <w:color w:val="auto"/>
          <w:sz w:val="20"/>
          <w:szCs w:val="20"/>
          <w:bdr w:val="none" w:sz="0" w:space="0" w:color="auto"/>
        </w:rPr>
        <w:t>o la ausencia de normas internas que obliguen la asignación de fondos a las Municipalidades para cumplir las sentencias</w:t>
      </w:r>
      <w:r w:rsidR="00FA698E" w:rsidRPr="00DF3A10">
        <w:rPr>
          <w:rFonts w:ascii="Cambria" w:eastAsia="Times New Roman" w:hAnsi="Cambria"/>
          <w:color w:val="auto"/>
          <w:sz w:val="20"/>
          <w:szCs w:val="20"/>
          <w:bdr w:val="none" w:sz="0" w:space="0" w:color="auto"/>
        </w:rPr>
        <w:t xml:space="preserve"> como fundamento para no atender </w:t>
      </w:r>
      <w:r w:rsidRPr="00DF3A10">
        <w:rPr>
          <w:rFonts w:ascii="Cambria" w:eastAsia="Times New Roman" w:hAnsi="Cambria"/>
          <w:color w:val="auto"/>
          <w:sz w:val="20"/>
          <w:szCs w:val="20"/>
          <w:bdr w:val="none" w:sz="0" w:space="0" w:color="auto"/>
        </w:rPr>
        <w:t>esta recomendación.</w:t>
      </w:r>
    </w:p>
    <w:p w14:paraId="1184D367" w14:textId="77777777" w:rsidR="00E359DA" w:rsidRPr="007B2915" w:rsidRDefault="00E359DA" w:rsidP="00683E73">
      <w:pPr>
        <w:pBdr>
          <w:top w:val="none" w:sz="0" w:space="0" w:color="auto"/>
          <w:left w:val="none" w:sz="0" w:space="0" w:color="auto"/>
          <w:bottom w:val="none" w:sz="0" w:space="0" w:color="auto"/>
          <w:right w:val="none" w:sz="0" w:space="0" w:color="auto"/>
          <w:between w:val="none" w:sz="0" w:space="0" w:color="auto"/>
          <w:bar w:val="none" w:sz="0" w:color="auto"/>
        </w:pBdr>
        <w:ind w:left="540" w:right="720" w:hanging="540"/>
        <w:jc w:val="both"/>
        <w:rPr>
          <w:rFonts w:ascii="Cambria" w:eastAsia="Times New Roman" w:hAnsi="Cambria"/>
          <w:sz w:val="20"/>
          <w:szCs w:val="20"/>
          <w:bdr w:val="none" w:sz="0" w:space="0" w:color="auto"/>
        </w:rPr>
      </w:pPr>
    </w:p>
    <w:p w14:paraId="2FAEE252" w14:textId="77777777" w:rsidR="00E359DA" w:rsidRDefault="00E359DA" w:rsidP="00683E7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540" w:right="720" w:hanging="540"/>
        <w:jc w:val="both"/>
        <w:rPr>
          <w:rFonts w:ascii="Cambria" w:eastAsia="Times New Roman" w:hAnsi="Cambria"/>
          <w:sz w:val="20"/>
          <w:szCs w:val="20"/>
          <w:bdr w:val="none" w:sz="0" w:space="0" w:color="auto"/>
        </w:rPr>
      </w:pPr>
      <w:r w:rsidRPr="007B2915">
        <w:rPr>
          <w:rFonts w:ascii="Cambria" w:eastAsia="Times New Roman" w:hAnsi="Cambria"/>
          <w:sz w:val="20"/>
          <w:szCs w:val="20"/>
          <w:bdr w:val="none" w:sz="0" w:space="0" w:color="auto"/>
        </w:rPr>
        <w:t xml:space="preserve">Reparar integralmente las violaciones declaradas en el presente informe, incluyendo una debida compensación que incluya el daño material e inmaterial causado.   </w:t>
      </w:r>
    </w:p>
    <w:p w14:paraId="632D3DB4" w14:textId="77777777" w:rsidR="00E359DA" w:rsidRDefault="00E359DA" w:rsidP="00683E73">
      <w:pPr>
        <w:pStyle w:val="ListParagraph"/>
        <w:ind w:left="540" w:hanging="540"/>
        <w:rPr>
          <w:rFonts w:eastAsia="Times New Roman"/>
          <w:sz w:val="20"/>
          <w:szCs w:val="20"/>
          <w:bdr w:val="none" w:sz="0" w:space="0" w:color="auto"/>
          <w:lang w:val="es-ES"/>
        </w:rPr>
      </w:pPr>
    </w:p>
    <w:p w14:paraId="59A4FB08" w14:textId="77777777" w:rsidR="00006896" w:rsidRPr="00734ECB" w:rsidRDefault="00E359DA" w:rsidP="00683E7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540" w:right="720" w:hanging="540"/>
        <w:jc w:val="both"/>
        <w:rPr>
          <w:rFonts w:ascii="Cambria" w:eastAsia="Times New Roman" w:hAnsi="Cambria"/>
          <w:color w:val="auto"/>
          <w:sz w:val="20"/>
          <w:szCs w:val="20"/>
          <w:bdr w:val="none" w:sz="0" w:space="0" w:color="auto"/>
        </w:rPr>
      </w:pPr>
      <w:r w:rsidRPr="00734ECB">
        <w:rPr>
          <w:rFonts w:ascii="Cambria" w:eastAsia="Times New Roman" w:hAnsi="Cambria"/>
          <w:color w:val="auto"/>
          <w:sz w:val="20"/>
          <w:szCs w:val="20"/>
          <w:bdr w:val="none" w:sz="0" w:space="0" w:color="auto"/>
        </w:rPr>
        <w:t xml:space="preserve">Adoptar las medidas legislativas o de otra índole necesarias para evitar la repetición de las violaciones declaradas en el presente informe. Al respecto, el Estado deberá disponer las medidas necesarias para: i) Asegurar que las </w:t>
      </w:r>
      <w:r w:rsidR="00083D44" w:rsidRPr="00734ECB">
        <w:rPr>
          <w:rFonts w:ascii="Cambria" w:eastAsia="Times New Roman" w:hAnsi="Cambria"/>
          <w:color w:val="auto"/>
          <w:sz w:val="20"/>
          <w:szCs w:val="20"/>
          <w:bdr w:val="none" w:sz="0" w:space="0" w:color="auto"/>
        </w:rPr>
        <w:t>entidades estatales</w:t>
      </w:r>
      <w:r w:rsidRPr="00734ECB">
        <w:rPr>
          <w:rFonts w:ascii="Cambria" w:eastAsia="Times New Roman" w:hAnsi="Cambria"/>
          <w:color w:val="auto"/>
          <w:sz w:val="20"/>
          <w:szCs w:val="20"/>
          <w:bdr w:val="none" w:sz="0" w:space="0" w:color="auto"/>
        </w:rPr>
        <w:t xml:space="preserve"> cumplan con los fallos judiciales que reconocen derechos </w:t>
      </w:r>
      <w:r w:rsidR="00083D44" w:rsidRPr="00734ECB">
        <w:rPr>
          <w:rFonts w:ascii="Cambria" w:eastAsia="Times New Roman" w:hAnsi="Cambria"/>
          <w:color w:val="auto"/>
          <w:sz w:val="20"/>
          <w:szCs w:val="20"/>
          <w:bdr w:val="none" w:sz="0" w:space="0" w:color="auto"/>
        </w:rPr>
        <w:t>laborales y de seguridad social</w:t>
      </w:r>
      <w:r w:rsidRPr="00734ECB">
        <w:rPr>
          <w:rFonts w:ascii="Cambria" w:eastAsia="Times New Roman" w:hAnsi="Cambria"/>
          <w:color w:val="auto"/>
          <w:sz w:val="20"/>
          <w:szCs w:val="20"/>
          <w:bdr w:val="none" w:sz="0" w:space="0" w:color="auto"/>
        </w:rPr>
        <w:t>; ii) Asegurar que los procesos de ejecución de sentencia cumplan con el estándar convencional de sencillez y rapidez; y</w:t>
      </w:r>
      <w:r w:rsidR="00083D44" w:rsidRPr="00734ECB">
        <w:rPr>
          <w:rFonts w:ascii="Cambria" w:eastAsia="Times New Roman" w:hAnsi="Cambria"/>
          <w:color w:val="auto"/>
          <w:sz w:val="20"/>
          <w:szCs w:val="20"/>
          <w:bdr w:val="none" w:sz="0" w:space="0" w:color="auto"/>
        </w:rPr>
        <w:t xml:space="preserve"> iii</w:t>
      </w:r>
      <w:r w:rsidRPr="00734ECB">
        <w:rPr>
          <w:rFonts w:ascii="Cambria" w:eastAsia="Times New Roman" w:hAnsi="Cambria"/>
          <w:color w:val="auto"/>
          <w:sz w:val="20"/>
          <w:szCs w:val="20"/>
          <w:bdr w:val="none" w:sz="0" w:space="0" w:color="auto"/>
        </w:rPr>
        <w:t>) Asegurar que las autoridades judiciales que conocen tales procesos se encuentren facultados legalmente y apliquen en la práctica los mecanismos coercitivos necesarios para garantizar el cumplimiento de los fallos judiciales.</w:t>
      </w:r>
    </w:p>
    <w:p w14:paraId="293F372D" w14:textId="77777777" w:rsidR="00006896" w:rsidRDefault="00006896" w:rsidP="0033028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548DD4" w:themeColor="text2" w:themeTint="99"/>
          <w:sz w:val="20"/>
          <w:szCs w:val="20"/>
          <w:lang w:val="es-VE"/>
        </w:rPr>
      </w:pPr>
    </w:p>
    <w:p w14:paraId="793487F2" w14:textId="77777777" w:rsidR="00683E73" w:rsidRDefault="00683E73" w:rsidP="0033028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548DD4" w:themeColor="text2" w:themeTint="99"/>
          <w:sz w:val="20"/>
          <w:szCs w:val="20"/>
          <w:lang w:val="es-VE"/>
        </w:rPr>
      </w:pPr>
    </w:p>
    <w:p w14:paraId="6F503D81" w14:textId="77777777" w:rsidR="00683E73" w:rsidRPr="00006896" w:rsidRDefault="00683E73" w:rsidP="0033028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548DD4" w:themeColor="text2" w:themeTint="99"/>
          <w:sz w:val="20"/>
          <w:szCs w:val="20"/>
          <w:lang w:val="es-VE"/>
        </w:rPr>
      </w:pPr>
    </w:p>
    <w:sectPr w:rsidR="00683E73" w:rsidRPr="00006896" w:rsidSect="00C1597E">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EE912" w14:textId="77777777" w:rsidR="00144082" w:rsidRDefault="00144082">
      <w:r>
        <w:separator/>
      </w:r>
    </w:p>
  </w:endnote>
  <w:endnote w:type="continuationSeparator" w:id="0">
    <w:p w14:paraId="4AC9CB9B" w14:textId="77777777" w:rsidR="00144082" w:rsidRDefault="0014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3B8B6D32" w14:textId="77777777" w:rsidR="00F5327F" w:rsidRPr="00934A2C" w:rsidRDefault="00F532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33C06">
          <w:rPr>
            <w:noProof/>
            <w:sz w:val="16"/>
            <w:szCs w:val="22"/>
          </w:rPr>
          <w:t>17</w:t>
        </w:r>
        <w:r w:rsidRPr="00934A2C">
          <w:rPr>
            <w:noProof/>
            <w:sz w:val="16"/>
            <w:szCs w:val="22"/>
          </w:rPr>
          <w:fldChar w:fldCharType="end"/>
        </w:r>
      </w:p>
    </w:sdtContent>
  </w:sdt>
  <w:p w14:paraId="6EE8EBD5" w14:textId="77777777" w:rsidR="00F5327F" w:rsidRDefault="00F53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BF948" w14:textId="77777777" w:rsidR="00F5327F" w:rsidRPr="00934A2C" w:rsidRDefault="00F5327F">
    <w:pPr>
      <w:pStyle w:val="Footer"/>
      <w:jc w:val="center"/>
      <w:rPr>
        <w:sz w:val="16"/>
        <w:szCs w:val="22"/>
      </w:rPr>
    </w:pPr>
  </w:p>
  <w:p w14:paraId="4946FA93" w14:textId="77777777" w:rsidR="00F5327F" w:rsidRDefault="00F53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270F8" w14:textId="77777777" w:rsidR="00144082" w:rsidRPr="000F35ED" w:rsidRDefault="00144082">
      <w:r w:rsidRPr="000F35ED">
        <w:separator/>
      </w:r>
    </w:p>
  </w:footnote>
  <w:footnote w:type="continuationSeparator" w:id="0">
    <w:p w14:paraId="1827E590" w14:textId="77777777" w:rsidR="00144082" w:rsidRPr="000F35ED" w:rsidRDefault="00144082" w:rsidP="000F35ED">
      <w:r w:rsidRPr="000F35ED">
        <w:separator/>
      </w:r>
    </w:p>
    <w:p w14:paraId="4D9E8440" w14:textId="77777777" w:rsidR="00144082" w:rsidRPr="000F35ED" w:rsidRDefault="0014408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F39CEBF" w14:textId="77777777" w:rsidR="00144082" w:rsidRPr="000F35ED" w:rsidRDefault="00144082" w:rsidP="000F35ED">
      <w:pPr>
        <w:jc w:val="right"/>
      </w:pPr>
      <w:r>
        <w:t>[c</w:t>
      </w:r>
      <w:r w:rsidRPr="000F35ED">
        <w:t>ontinúa…</w:t>
      </w:r>
      <w:r>
        <w:t>]</w:t>
      </w:r>
    </w:p>
  </w:footnote>
  <w:footnote w:id="2">
    <w:p w14:paraId="0BC6A1F9" w14:textId="77777777" w:rsidR="00F5327F" w:rsidRPr="001D04E5" w:rsidRDefault="00F5327F" w:rsidP="00CB4C8A">
      <w:pPr>
        <w:pStyle w:val="FootnoteText"/>
        <w:jc w:val="both"/>
        <w:rPr>
          <w:rFonts w:asciiTheme="majorHAnsi" w:hAnsiTheme="majorHAnsi"/>
          <w:color w:val="auto"/>
          <w:lang w:val="es-US"/>
        </w:rPr>
      </w:pPr>
      <w:r w:rsidRPr="001D04E5">
        <w:rPr>
          <w:rStyle w:val="FootnoteReference"/>
          <w:rFonts w:asciiTheme="majorHAnsi" w:hAnsiTheme="majorHAnsi"/>
        </w:rPr>
        <w:footnoteRef/>
      </w:r>
      <w:r w:rsidRPr="001D04E5">
        <w:rPr>
          <w:rFonts w:asciiTheme="majorHAnsi" w:hAnsiTheme="majorHAnsi"/>
          <w:lang w:val="es-US"/>
        </w:rPr>
        <w:t xml:space="preserve"> </w:t>
      </w:r>
      <w:r w:rsidRPr="001D04E5">
        <w:rPr>
          <w:rFonts w:asciiTheme="majorHAnsi" w:hAnsiTheme="majorHAnsi"/>
          <w:lang w:val="es-CO"/>
        </w:rPr>
        <w:t xml:space="preserve">Conforme a lo dispuesto en el artículo 17.2 del Reglamento de la Comisión, la Comisionada Antonia Urrejola, de nacionalidad chilena, no participó en el debate ni en la </w:t>
      </w:r>
      <w:r w:rsidRPr="001D04E5">
        <w:rPr>
          <w:rFonts w:asciiTheme="majorHAnsi" w:hAnsiTheme="majorHAnsi"/>
          <w:color w:val="auto"/>
          <w:lang w:val="es-CO"/>
        </w:rPr>
        <w:t>decisión del presente caso.</w:t>
      </w:r>
    </w:p>
  </w:footnote>
  <w:footnote w:id="3">
    <w:p w14:paraId="5E408919" w14:textId="77777777" w:rsidR="00F5327F" w:rsidRPr="001D04E5" w:rsidRDefault="00F5327F" w:rsidP="00CB4C8A">
      <w:pPr>
        <w:pStyle w:val="FootnoteText"/>
        <w:jc w:val="both"/>
        <w:rPr>
          <w:rFonts w:asciiTheme="majorHAnsi" w:hAnsiTheme="majorHAnsi"/>
          <w:color w:val="auto"/>
          <w:lang w:val="es-US"/>
        </w:rPr>
      </w:pPr>
      <w:r w:rsidRPr="001D04E5">
        <w:rPr>
          <w:rStyle w:val="FootnoteReference"/>
          <w:rFonts w:asciiTheme="majorHAnsi" w:hAnsiTheme="majorHAnsi"/>
          <w:color w:val="auto"/>
        </w:rPr>
        <w:footnoteRef/>
      </w:r>
      <w:r w:rsidRPr="001D04E5">
        <w:rPr>
          <w:rFonts w:asciiTheme="majorHAnsi" w:hAnsiTheme="majorHAnsi"/>
          <w:color w:val="auto"/>
          <w:lang w:val="es-US"/>
        </w:rPr>
        <w:t xml:space="preserve"> El 29 de marzo de 2018, el peticionario Juan Pablo Olmedo informó a la CIDH su renuncia a la representación del presente caso.</w:t>
      </w:r>
    </w:p>
  </w:footnote>
  <w:footnote w:id="4">
    <w:p w14:paraId="6CD87466" w14:textId="77777777" w:rsidR="00F5327F" w:rsidRPr="001D04E5" w:rsidRDefault="00F5327F" w:rsidP="00CB4C8A">
      <w:pPr>
        <w:pStyle w:val="FootnoteText"/>
        <w:jc w:val="both"/>
        <w:rPr>
          <w:rFonts w:asciiTheme="majorHAnsi" w:hAnsiTheme="majorHAnsi"/>
          <w:color w:val="auto"/>
          <w:lang w:val="es-US"/>
        </w:rPr>
      </w:pPr>
      <w:r w:rsidRPr="001D04E5">
        <w:rPr>
          <w:rStyle w:val="FootnoteReference"/>
          <w:rFonts w:asciiTheme="majorHAnsi" w:hAnsiTheme="majorHAnsi"/>
          <w:color w:val="auto"/>
        </w:rPr>
        <w:footnoteRef/>
      </w:r>
      <w:r w:rsidRPr="001D04E5">
        <w:rPr>
          <w:rFonts w:asciiTheme="majorHAnsi" w:hAnsiTheme="majorHAnsi"/>
          <w:color w:val="auto"/>
          <w:lang w:val="es-US"/>
        </w:rPr>
        <w:t xml:space="preserve"> CIDH. Informe No. 28/13. Petición 1345-05. Admisibilidad. Profesores de Chañaral (Chile). 20 de marzo de 2013. Artículos admisibles: 8.1, 21 y 25 de la Convención Americana. Artículo inadmisible: 26 de la Convención Americana.</w:t>
      </w:r>
    </w:p>
  </w:footnote>
  <w:footnote w:id="5">
    <w:p w14:paraId="46F6519C"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color w:val="auto"/>
        </w:rPr>
        <w:footnoteRef/>
      </w:r>
      <w:r w:rsidRPr="001D04E5">
        <w:rPr>
          <w:rFonts w:asciiTheme="majorHAnsi" w:hAnsiTheme="majorHAnsi"/>
          <w:color w:val="auto"/>
          <w:lang w:val="es-US"/>
        </w:rPr>
        <w:t xml:space="preserve"> Mediante carta de fecha 23 de marzo y 9 de mayo de 2017, la parte peticionaria y el Estado, respectivamente, señalaron su interés en llegar a una solución amistosa en el caso. La parte peticionaria informó su voluntad de cerrar el procedimiento de solución amistosa mediante carta de fecha 6 de octubre de 2017, y la Comisión cerró el procedimiento con fecha efectiva de 6 de diciembre de 2017. El Estado solicitó dejar sin efecto el cierre del procedimiento el 18 de diciembre de 2017.</w:t>
      </w:r>
    </w:p>
  </w:footnote>
  <w:footnote w:id="6">
    <w:p w14:paraId="72A59E84"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w:t>
      </w:r>
      <w:r w:rsidRPr="001D04E5">
        <w:rPr>
          <w:rFonts w:asciiTheme="majorHAnsi" w:hAnsiTheme="majorHAnsi"/>
          <w:color w:val="auto"/>
          <w:lang w:val="es-ES"/>
        </w:rPr>
        <w:t>Se comprometió a mandar un informe actualizado con los datos personales y estado de salud de las víctimas lo cual, a la fecha, no se ha recibido.</w:t>
      </w:r>
    </w:p>
  </w:footnote>
  <w:footnote w:id="7">
    <w:p w14:paraId="56BF2DC8"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Indicó que se trata de la Ley No. 18.695, </w:t>
      </w:r>
      <w:r w:rsidRPr="001D04E5">
        <w:rPr>
          <w:rFonts w:asciiTheme="majorHAnsi" w:hAnsiTheme="majorHAnsi"/>
          <w:lang w:val="es-ES"/>
        </w:rPr>
        <w:t>Ley Orgánica Constitucional de Municipalidades, artículo 32.</w:t>
      </w:r>
    </w:p>
  </w:footnote>
  <w:footnote w:id="8">
    <w:p w14:paraId="7F4C26FF"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Señaló que </w:t>
      </w:r>
      <w:r w:rsidRPr="001D04E5">
        <w:rPr>
          <w:rFonts w:asciiTheme="majorHAnsi" w:hAnsiTheme="majorHAnsi"/>
          <w:lang w:val="es-ES"/>
        </w:rPr>
        <w:t>el artículo 2 del Decreto Ley 1.263 de 1975 establece que las municipalidades son corporaciones autónomas, y e</w:t>
      </w:r>
      <w:r w:rsidRPr="001D04E5">
        <w:rPr>
          <w:rFonts w:asciiTheme="majorHAnsi" w:hAnsiTheme="majorHAnsi"/>
          <w:lang w:val="es-US"/>
        </w:rPr>
        <w:t>l artículo 28 del mismo establece que “El Ejecutivo podrá ordenar pagos, excediéndose de las sumas consultadas en los rubros correspondientes, en los casos que a continuación se indican: 1.- Para el cumplimiento de sentencias ejecutoriadas dictadas por autoridad competente.”</w:t>
      </w:r>
    </w:p>
  </w:footnote>
  <w:footnote w:id="9">
    <w:p w14:paraId="27810092"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Precisó que el artículo 122 de la Carta Fundamental prescribe que las municipalidades “gozarán de autonomía para la administración de sus finanzas y que la Ley de Presupuestos de la Nación podrá asignarles recursos para atender sus gastos, sin perjuicio de los ingresos que directamente se les confieran por la ley o se les otorguen por los Gobiernos Regionales”. </w:t>
      </w:r>
    </w:p>
  </w:footnote>
  <w:footnote w:id="10">
    <w:p w14:paraId="1AFFA54D"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Escrito de fondo del Estado, pág. 14.</w:t>
      </w:r>
    </w:p>
  </w:footnote>
  <w:footnote w:id="11">
    <w:p w14:paraId="5C7540A8"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Escrito de fondo del Estado, pág. 15. Agregó que de acuerdo con el artículo 8 del Decreto con Fuerza de Ley No. 1-3.063, “sobre Fondo Común Municipal, las municipalidades pueden pedir al Estado el traspaso de recursos extraordinarios para gastos generales de operación y funcionamiento de los servicios que han sido traspasados, lo que se materializa, cuando corresponde, mediante la correspondiente asignación presupuestaria”. </w:t>
      </w:r>
    </w:p>
  </w:footnote>
  <w:footnote w:id="12">
    <w:p w14:paraId="193E4407"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Los números estimados corresponden a los cálculos </w:t>
      </w:r>
      <w:r w:rsidRPr="001D04E5">
        <w:rPr>
          <w:rFonts w:asciiTheme="majorHAnsi" w:hAnsiTheme="majorHAnsi"/>
          <w:lang w:val="es-AR"/>
        </w:rPr>
        <w:t xml:space="preserve">de la Cámara de Diputados y del Colegio de Profesores de Chile, respectivamente. </w:t>
      </w:r>
      <w:r w:rsidRPr="001D04E5">
        <w:rPr>
          <w:rFonts w:asciiTheme="majorHAnsi" w:hAnsiTheme="majorHAnsi"/>
          <w:lang w:val="es-US"/>
        </w:rPr>
        <w:t xml:space="preserve">Véase Anexo </w:t>
      </w:r>
      <w:r>
        <w:rPr>
          <w:rFonts w:asciiTheme="majorHAnsi" w:hAnsiTheme="majorHAnsi"/>
          <w:lang w:val="es-US"/>
        </w:rPr>
        <w:t>1</w:t>
      </w:r>
      <w:r w:rsidRPr="001D04E5">
        <w:rPr>
          <w:rFonts w:asciiTheme="majorHAnsi" w:hAnsiTheme="majorHAnsi"/>
          <w:lang w:val="es-US"/>
        </w:rPr>
        <w:t>. Cámara de Diputados de Chile, Informe de la Comisión Especial Relativa a las Denominadas Deudas Históricas (2009), págs. 51, 68, 76 [en adelante, “Informe de la Cámara de Diputados sobre la “deuda histórica””]. Anexo a la carta de la parte peticionaria del 31 de julio de 2017. Véase tambi</w:t>
      </w:r>
      <w:r>
        <w:rPr>
          <w:rFonts w:asciiTheme="majorHAnsi" w:hAnsiTheme="majorHAnsi"/>
          <w:lang w:val="es-US"/>
        </w:rPr>
        <w:t>é</w:t>
      </w:r>
      <w:r w:rsidRPr="001D04E5">
        <w:rPr>
          <w:rFonts w:asciiTheme="majorHAnsi" w:hAnsiTheme="majorHAnsi"/>
          <w:lang w:val="es-US"/>
        </w:rPr>
        <w:t xml:space="preserve">n Anexo </w:t>
      </w:r>
      <w:r>
        <w:rPr>
          <w:rFonts w:asciiTheme="majorHAnsi" w:hAnsiTheme="majorHAnsi"/>
          <w:lang w:val="es-US"/>
        </w:rPr>
        <w:t>2</w:t>
      </w:r>
      <w:r w:rsidRPr="001D04E5">
        <w:rPr>
          <w:rFonts w:asciiTheme="majorHAnsi" w:hAnsiTheme="majorHAnsi"/>
          <w:lang w:val="es-US"/>
        </w:rPr>
        <w:t>. Organización Internacional del Trabajo, Informe del Director General: Quinto informe complementario: Informe del Comité encargado de examinar la reclamación en la que se alega el incumplimiento por Chile del Convenio sobre el seguro de vejez (industria, etc.), 1933 (núm. 35) y del Convenio sobre el seguro de invalidez (industria, etc.), 1933 (núm. 37), presentada en virtud del artículo 24 de la Constitución de la OIT por el Colegio de Profesores de Chile A.G. (12-27 de marzo de 2015), GB.323/INS/11/5 [en adelante, “Informe de la OIT sobre la “deuda histórica””]. Anexo a la carta de la parte peticionaria del 31 de julio de 2017.</w:t>
      </w:r>
    </w:p>
  </w:footnote>
  <w:footnote w:id="13">
    <w:p w14:paraId="04C46F9A"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por ejemplo, Anexo </w:t>
      </w:r>
      <w:r>
        <w:rPr>
          <w:rFonts w:asciiTheme="majorHAnsi" w:hAnsiTheme="majorHAnsi"/>
          <w:lang w:val="es-US"/>
        </w:rPr>
        <w:t>2</w:t>
      </w:r>
      <w:r w:rsidRPr="001D04E5">
        <w:rPr>
          <w:rFonts w:asciiTheme="majorHAnsi" w:hAnsiTheme="majorHAnsi"/>
          <w:lang w:val="es-US"/>
        </w:rPr>
        <w:t>. Informe de la OIT sobre la “deuda histórica”, párr. 42.</w:t>
      </w:r>
    </w:p>
  </w:footnote>
  <w:footnote w:id="14">
    <w:p w14:paraId="7EFA1D1D"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2</w:t>
      </w:r>
      <w:r w:rsidRPr="001D04E5">
        <w:rPr>
          <w:rFonts w:asciiTheme="majorHAnsi" w:hAnsiTheme="majorHAnsi"/>
          <w:lang w:val="es-US"/>
        </w:rPr>
        <w:t>. Informe de la OIT sobre la “deuda histórica”, párr. 64.</w:t>
      </w:r>
      <w:r w:rsidRPr="001D04E5">
        <w:rPr>
          <w:rFonts w:asciiTheme="majorHAnsi" w:hAnsiTheme="majorHAnsi"/>
          <w:lang w:val="es-ES"/>
        </w:rPr>
        <w:t xml:space="preserve"> Asimismo, la parte peticionaria alegó en la audiencia de admisibilidad que “Municipios ricos con influencia nacional, han logrado dar cumplimiento a las sentencias contando para ello con la expresa intervención y colaboración del Poder Ejecutivo, como fue el caso de la Municipalidad de Concepción, lo que aumenta la sensación de justicia”. </w:t>
      </w:r>
    </w:p>
  </w:footnote>
  <w:footnote w:id="15">
    <w:p w14:paraId="5C3BEE40"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Anexo </w:t>
      </w:r>
      <w:r>
        <w:rPr>
          <w:rFonts w:asciiTheme="majorHAnsi" w:hAnsiTheme="majorHAnsi"/>
          <w:lang w:val="es-US"/>
        </w:rPr>
        <w:t>2</w:t>
      </w:r>
      <w:r w:rsidRPr="001D04E5">
        <w:rPr>
          <w:rFonts w:asciiTheme="majorHAnsi" w:hAnsiTheme="majorHAnsi"/>
          <w:lang w:val="es-US"/>
        </w:rPr>
        <w:t>. Informe de la OIT sobre la “deuda histórica”, párr. 14.</w:t>
      </w:r>
    </w:p>
  </w:footnote>
  <w:footnote w:id="16">
    <w:p w14:paraId="022FEBE3"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Anexo </w:t>
      </w:r>
      <w:r>
        <w:rPr>
          <w:rFonts w:asciiTheme="majorHAnsi" w:hAnsiTheme="majorHAnsi"/>
          <w:lang w:val="es-US"/>
        </w:rPr>
        <w:t>2</w:t>
      </w:r>
      <w:r w:rsidRPr="001D04E5">
        <w:rPr>
          <w:rFonts w:asciiTheme="majorHAnsi" w:hAnsiTheme="majorHAnsi"/>
          <w:lang w:val="es-US"/>
        </w:rPr>
        <w:t>. Informe de la OIT sobre la “deuda histórica”, párr. 15.</w:t>
      </w:r>
    </w:p>
  </w:footnote>
  <w:footnote w:id="17">
    <w:p w14:paraId="037926C1"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Anexo </w:t>
      </w:r>
      <w:r>
        <w:rPr>
          <w:rFonts w:asciiTheme="majorHAnsi" w:hAnsiTheme="majorHAnsi"/>
          <w:lang w:val="es-US"/>
        </w:rPr>
        <w:t>2</w:t>
      </w:r>
      <w:r w:rsidRPr="001D04E5">
        <w:rPr>
          <w:rFonts w:asciiTheme="majorHAnsi" w:hAnsiTheme="majorHAnsi"/>
          <w:lang w:val="es-US"/>
        </w:rPr>
        <w:t>. Informe de la OIT sobre la “deuda histórica”, párr. 16.</w:t>
      </w:r>
    </w:p>
  </w:footnote>
  <w:footnote w:id="18">
    <w:p w14:paraId="59D071F0"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Anexo </w:t>
      </w:r>
      <w:r>
        <w:rPr>
          <w:rFonts w:asciiTheme="majorHAnsi" w:hAnsiTheme="majorHAnsi"/>
          <w:lang w:val="es-US"/>
        </w:rPr>
        <w:t>1</w:t>
      </w:r>
      <w:r w:rsidRPr="001D04E5">
        <w:rPr>
          <w:rFonts w:asciiTheme="majorHAnsi" w:hAnsiTheme="majorHAnsi"/>
          <w:lang w:val="es-US"/>
        </w:rPr>
        <w:t xml:space="preserve">. Informe de la Cámara de Diputados sobre la “deuda histórica”, pág. 150; véase también Anexo </w:t>
      </w:r>
      <w:r>
        <w:rPr>
          <w:rFonts w:asciiTheme="majorHAnsi" w:hAnsiTheme="majorHAnsi"/>
          <w:lang w:val="es-US"/>
        </w:rPr>
        <w:t>2</w:t>
      </w:r>
      <w:r w:rsidRPr="001D04E5">
        <w:rPr>
          <w:rFonts w:asciiTheme="majorHAnsi" w:hAnsiTheme="majorHAnsi"/>
          <w:lang w:val="es-US"/>
        </w:rPr>
        <w:t>. Informe de la OIT sobre la “deuda histórica”, párr. 17.</w:t>
      </w:r>
    </w:p>
  </w:footnote>
  <w:footnote w:id="19">
    <w:p w14:paraId="2CAFDB06"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Anexo </w:t>
      </w:r>
      <w:r>
        <w:rPr>
          <w:rFonts w:asciiTheme="majorHAnsi" w:hAnsiTheme="majorHAnsi"/>
          <w:lang w:val="es-US"/>
        </w:rPr>
        <w:t>2</w:t>
      </w:r>
      <w:r w:rsidRPr="001D04E5">
        <w:rPr>
          <w:rFonts w:asciiTheme="majorHAnsi" w:hAnsiTheme="majorHAnsi"/>
          <w:lang w:val="es-US"/>
        </w:rPr>
        <w:t>. Informe de la OIT sobre la “deuda histórica”.</w:t>
      </w:r>
    </w:p>
  </w:footnote>
  <w:footnote w:id="20">
    <w:p w14:paraId="71722D60"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por ejemplo, Publimetro, La "deuda histórica" el gran punto de discordia: Colegio de Profesores anuncia paralización de 48 horas tras "pobre" respuesta del Mineduc (25 septiembre 2018) (última visita 12 diciembre 2018), disponible en: </w:t>
      </w:r>
      <w:hyperlink r:id="rId1" w:history="1">
        <w:r w:rsidRPr="001D04E5">
          <w:rPr>
            <w:rStyle w:val="Hyperlink"/>
            <w:rFonts w:asciiTheme="majorHAnsi" w:hAnsiTheme="majorHAnsi"/>
            <w:lang w:val="es-US"/>
          </w:rPr>
          <w:t>https://www.publimetro.cl/cl/noticias/2018/09/25/colegio-de-profesores-mineduc-48-horas.html</w:t>
        </w:r>
      </w:hyperlink>
      <w:r w:rsidRPr="001D04E5">
        <w:rPr>
          <w:rFonts w:asciiTheme="majorHAnsi" w:hAnsiTheme="majorHAnsi"/>
          <w:lang w:val="es-US"/>
        </w:rPr>
        <w:t xml:space="preserve">; véase también Anexo </w:t>
      </w:r>
      <w:r>
        <w:rPr>
          <w:rFonts w:asciiTheme="majorHAnsi" w:hAnsiTheme="majorHAnsi"/>
          <w:lang w:val="es-US"/>
        </w:rPr>
        <w:t>3</w:t>
      </w:r>
      <w:r w:rsidRPr="001D04E5">
        <w:rPr>
          <w:rFonts w:asciiTheme="majorHAnsi" w:hAnsiTheme="majorHAnsi"/>
          <w:lang w:val="es-US"/>
        </w:rPr>
        <w:t xml:space="preserve">. Clipping de Prensa respecto de Deuda Histórica Profesores, 1987-2004. Anexo a la petición inicial. </w:t>
      </w:r>
    </w:p>
  </w:footnote>
  <w:footnote w:id="21">
    <w:p w14:paraId="44439E8E"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En escritos de fechas 20 de febrero de 2007 y 15 de diciembre de 2008.</w:t>
      </w:r>
    </w:p>
  </w:footnote>
  <w:footnote w:id="22">
    <w:p w14:paraId="71268FF7"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4</w:t>
      </w:r>
      <w:r w:rsidRPr="001D04E5">
        <w:rPr>
          <w:rFonts w:asciiTheme="majorHAnsi" w:hAnsiTheme="majorHAnsi"/>
          <w:lang w:val="es-US"/>
        </w:rPr>
        <w:t xml:space="preserve">. Tomos I y II de documentos en la causa “Clarisa Benavides Montaña y otros con I. Municipalidad de Chañaral”, ante Juzgado de Letras del Trabajo de Chañaral. Anexo a la petición inicial. </w:t>
      </w:r>
    </w:p>
  </w:footnote>
  <w:footnote w:id="23">
    <w:p w14:paraId="6F6DE386"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5</w:t>
      </w:r>
      <w:r w:rsidRPr="001D04E5">
        <w:rPr>
          <w:rFonts w:asciiTheme="majorHAnsi" w:hAnsiTheme="majorHAnsi"/>
          <w:lang w:val="es-US"/>
        </w:rPr>
        <w:t xml:space="preserve">. Documentos principales de Causa No. 4. </w:t>
      </w:r>
      <w:r w:rsidRPr="001D04E5">
        <w:rPr>
          <w:rFonts w:asciiTheme="majorHAnsi" w:hAnsiTheme="majorHAnsi"/>
          <w:lang w:val="es-AR"/>
        </w:rPr>
        <w:t xml:space="preserve">Juzgado del Trabajo Chanco, caratulada: “Franzani Humberto y otros con I. Municipalidad de Chanco”, Rol. No. 221-1993. </w:t>
      </w:r>
    </w:p>
  </w:footnote>
  <w:footnote w:id="24">
    <w:p w14:paraId="65BE81FD"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6</w:t>
      </w:r>
      <w:r w:rsidRPr="001D04E5">
        <w:rPr>
          <w:rFonts w:asciiTheme="majorHAnsi" w:hAnsiTheme="majorHAnsi"/>
          <w:lang w:val="es-US"/>
        </w:rPr>
        <w:t xml:space="preserve">. Documentos principales de Causa No. 5. </w:t>
      </w:r>
      <w:r w:rsidRPr="001D04E5">
        <w:rPr>
          <w:rFonts w:asciiTheme="majorHAnsi" w:hAnsiTheme="majorHAnsi"/>
          <w:lang w:val="es-AR"/>
        </w:rPr>
        <w:t>Juzgado del Trabajo Chanco, caratulada: “Franzani Humberto y otros con I. Municipalidad de Chanco”, Rol. No. 217-1993.</w:t>
      </w:r>
    </w:p>
  </w:footnote>
  <w:footnote w:id="25">
    <w:p w14:paraId="588DBFEB"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7</w:t>
      </w:r>
      <w:r w:rsidRPr="001D04E5">
        <w:rPr>
          <w:rFonts w:asciiTheme="majorHAnsi" w:hAnsiTheme="majorHAnsi"/>
          <w:lang w:val="es-US"/>
        </w:rPr>
        <w:t xml:space="preserve">. Documentos principales de Causa No. 1. </w:t>
      </w:r>
      <w:r w:rsidRPr="001D04E5">
        <w:rPr>
          <w:rFonts w:asciiTheme="majorHAnsi" w:hAnsiTheme="majorHAnsi"/>
          <w:lang w:val="es-AR"/>
        </w:rPr>
        <w:t xml:space="preserve">Juzgado del Trabajo Chanco, caratulada: “Franzani y otros con I. Municipalidad de Pelluhue”, Rol. No. 218-1993. </w:t>
      </w:r>
    </w:p>
  </w:footnote>
  <w:footnote w:id="26">
    <w:p w14:paraId="5108819F"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8</w:t>
      </w:r>
      <w:r w:rsidRPr="001D04E5">
        <w:rPr>
          <w:rFonts w:asciiTheme="majorHAnsi" w:hAnsiTheme="majorHAnsi"/>
          <w:lang w:val="es-US"/>
        </w:rPr>
        <w:t xml:space="preserve">. Documentos principales de Causa No. 2. </w:t>
      </w:r>
      <w:r w:rsidRPr="001D04E5">
        <w:rPr>
          <w:rFonts w:asciiTheme="majorHAnsi" w:hAnsiTheme="majorHAnsi"/>
          <w:lang w:val="es-AR"/>
        </w:rPr>
        <w:t xml:space="preserve">Juzgado del Trabajo Chanco, caratulada: “Franzani y otros con I. Municipalidad de Pelluhue”, Rol. No. 222-1993. </w:t>
      </w:r>
    </w:p>
  </w:footnote>
  <w:footnote w:id="27">
    <w:p w14:paraId="4E619624"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9</w:t>
      </w:r>
      <w:r w:rsidRPr="001D04E5">
        <w:rPr>
          <w:rFonts w:asciiTheme="majorHAnsi" w:hAnsiTheme="majorHAnsi"/>
          <w:lang w:val="es-US"/>
        </w:rPr>
        <w:t xml:space="preserve">. Documentos principales de Causa No. 6. </w:t>
      </w:r>
      <w:r w:rsidRPr="001D04E5">
        <w:rPr>
          <w:rFonts w:asciiTheme="majorHAnsi" w:hAnsiTheme="majorHAnsi"/>
          <w:lang w:val="es-AR"/>
        </w:rPr>
        <w:t xml:space="preserve">Juzgado del Trabajo de Cauquenes [sic], caratulada: “Bayer Torres y otros con I. Municipalidad de Parral”, Rol. No. 4274-1993. </w:t>
      </w:r>
    </w:p>
  </w:footnote>
  <w:footnote w:id="28">
    <w:p w14:paraId="10C9B3B4"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10</w:t>
      </w:r>
      <w:r w:rsidRPr="001D04E5">
        <w:rPr>
          <w:rFonts w:asciiTheme="majorHAnsi" w:hAnsiTheme="majorHAnsi"/>
          <w:lang w:val="es-US"/>
        </w:rPr>
        <w:t xml:space="preserve">. Documentos principales de Causa No. 7. </w:t>
      </w:r>
      <w:r w:rsidRPr="001D04E5">
        <w:rPr>
          <w:rFonts w:asciiTheme="majorHAnsi" w:hAnsiTheme="majorHAnsi"/>
          <w:lang w:val="es-AR"/>
        </w:rPr>
        <w:t xml:space="preserve">Juzgado del Trabajo de Parral, caratulada: “Bustamante Sánchez y otros con I. Municipalidad de Parral”, Rol. No. 4071-1992. </w:t>
      </w:r>
    </w:p>
  </w:footnote>
  <w:footnote w:id="29">
    <w:p w14:paraId="24FFC4F4"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11</w:t>
      </w:r>
      <w:r w:rsidRPr="001D04E5">
        <w:rPr>
          <w:rFonts w:asciiTheme="majorHAnsi" w:hAnsiTheme="majorHAnsi"/>
          <w:lang w:val="es-US"/>
        </w:rPr>
        <w:t xml:space="preserve">. Documentos principales de Causa No. 8. </w:t>
      </w:r>
      <w:r w:rsidRPr="001D04E5">
        <w:rPr>
          <w:rFonts w:asciiTheme="majorHAnsi" w:hAnsiTheme="majorHAnsi"/>
          <w:lang w:val="es-AR"/>
        </w:rPr>
        <w:t>Juzgado del Trabajo de Parral, caratulada: “Belmar y otros con I. Municipalidad de Parral”, Rol. No. 4051-1992.</w:t>
      </w:r>
    </w:p>
  </w:footnote>
  <w:footnote w:id="30">
    <w:p w14:paraId="03337FD7"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12</w:t>
      </w:r>
      <w:r w:rsidRPr="001D04E5">
        <w:rPr>
          <w:rFonts w:asciiTheme="majorHAnsi" w:hAnsiTheme="majorHAnsi"/>
          <w:lang w:val="es-US"/>
        </w:rPr>
        <w:t xml:space="preserve">. Documentos principales de Causa No. 11. </w:t>
      </w:r>
      <w:r w:rsidRPr="001D04E5">
        <w:rPr>
          <w:rFonts w:asciiTheme="majorHAnsi" w:hAnsiTheme="majorHAnsi"/>
          <w:lang w:val="es-AR"/>
        </w:rPr>
        <w:t>Juzgado del Trabajo Parral, caratulada: “Salazar y otros con I. Municipalidad de Parral”, Rol. No. 4096-1992.</w:t>
      </w:r>
    </w:p>
  </w:footnote>
  <w:footnote w:id="31">
    <w:p w14:paraId="69BBFB3F"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13</w:t>
      </w:r>
      <w:r w:rsidRPr="001D04E5">
        <w:rPr>
          <w:rFonts w:asciiTheme="majorHAnsi" w:hAnsiTheme="majorHAnsi"/>
          <w:lang w:val="es-US"/>
        </w:rPr>
        <w:t xml:space="preserve">. Documentos principales de Causa No. 12. </w:t>
      </w:r>
      <w:r w:rsidRPr="001D04E5">
        <w:rPr>
          <w:rFonts w:asciiTheme="majorHAnsi" w:hAnsiTheme="majorHAnsi"/>
          <w:lang w:val="es-AR"/>
        </w:rPr>
        <w:t xml:space="preserve">Juzgado del Trabajo Vallenar, caratulada: “Ramírez Ortiz, Inés Ariela y otros con I. Municipalidad de Vallenar”, Rol. No. 4.443-1993. </w:t>
      </w:r>
    </w:p>
  </w:footnote>
  <w:footnote w:id="32">
    <w:p w14:paraId="6BA29D2B"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14</w:t>
      </w:r>
      <w:r w:rsidRPr="001D04E5">
        <w:rPr>
          <w:rFonts w:asciiTheme="majorHAnsi" w:hAnsiTheme="majorHAnsi"/>
          <w:lang w:val="es-US"/>
        </w:rPr>
        <w:t xml:space="preserve">. Documentos principales de Causa No. 10. </w:t>
      </w:r>
      <w:r w:rsidRPr="001D04E5">
        <w:rPr>
          <w:rFonts w:asciiTheme="majorHAnsi" w:hAnsiTheme="majorHAnsi"/>
          <w:lang w:val="es-AR"/>
        </w:rPr>
        <w:t xml:space="preserve">Juzgado del Trabajo de Cauquenes, caratulada: “Agurto Chein-Juisan y otros con I. Municipalidad de Cauquenes”, Rol. No. 63-1993. </w:t>
      </w:r>
    </w:p>
  </w:footnote>
  <w:footnote w:id="33">
    <w:p w14:paraId="58746013"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15</w:t>
      </w:r>
      <w:r w:rsidRPr="001D04E5">
        <w:rPr>
          <w:rFonts w:asciiTheme="majorHAnsi" w:hAnsiTheme="majorHAnsi"/>
          <w:lang w:val="es-US"/>
        </w:rPr>
        <w:t xml:space="preserve">. Documentos principales de Causa No. 9. </w:t>
      </w:r>
      <w:r w:rsidRPr="001D04E5">
        <w:rPr>
          <w:rFonts w:asciiTheme="majorHAnsi" w:hAnsiTheme="majorHAnsi"/>
          <w:lang w:val="es-AR"/>
        </w:rPr>
        <w:t xml:space="preserve">Juzgado del Trabajo de Cauquenes, caratulada: “Barra y otros con I. Municipalidad de Cauquenes”, Rol. No. 123-1993. </w:t>
      </w:r>
    </w:p>
  </w:footnote>
  <w:footnote w:id="34">
    <w:p w14:paraId="039690A6"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Véase también Anexo </w:t>
      </w:r>
      <w:r>
        <w:rPr>
          <w:rFonts w:asciiTheme="majorHAnsi" w:hAnsiTheme="majorHAnsi"/>
          <w:lang w:val="es-US"/>
        </w:rPr>
        <w:t>16</w:t>
      </w:r>
      <w:r w:rsidRPr="001D04E5">
        <w:rPr>
          <w:rFonts w:asciiTheme="majorHAnsi" w:hAnsiTheme="majorHAnsi"/>
          <w:lang w:val="es-US"/>
        </w:rPr>
        <w:t xml:space="preserve">. Documentos principales de Causa No. 3. </w:t>
      </w:r>
      <w:r w:rsidRPr="001D04E5">
        <w:rPr>
          <w:rFonts w:asciiTheme="majorHAnsi" w:hAnsiTheme="majorHAnsi"/>
          <w:lang w:val="es-AR"/>
        </w:rPr>
        <w:t xml:space="preserve">Juzgado del Trabajo de Cauquenes, caratulada: “Ángel Aguilera Machuca y otros con I. Municipalidad de Cauquenes”, Rol. No. 38-1993. </w:t>
      </w:r>
    </w:p>
  </w:footnote>
  <w:footnote w:id="35">
    <w:p w14:paraId="4237D851"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Esta tabla refleja la información contenida en la tabla anexa a la carta de la parte peticionaria de fecha 20 de febrero de 2007, con las correcciones e información superviniente que surgen del escrito de la parte peticionaria de 15 de diciembre de 2008. Esta información, no ha sido controvertida por el Estado.</w:t>
      </w:r>
    </w:p>
  </w:footnote>
  <w:footnote w:id="36">
    <w:p w14:paraId="7372751D"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Suma indicada en Anexo </w:t>
      </w:r>
      <w:r>
        <w:rPr>
          <w:rFonts w:asciiTheme="majorHAnsi" w:hAnsiTheme="majorHAnsi"/>
          <w:lang w:val="es-US"/>
        </w:rPr>
        <w:t>12</w:t>
      </w:r>
      <w:r w:rsidRPr="001D04E5">
        <w:rPr>
          <w:rFonts w:asciiTheme="majorHAnsi" w:hAnsiTheme="majorHAnsi"/>
          <w:lang w:val="es-US"/>
        </w:rPr>
        <w:t xml:space="preserve">. Documentos principales de Causa No. 11. </w:t>
      </w:r>
      <w:r w:rsidRPr="001D04E5">
        <w:rPr>
          <w:rFonts w:asciiTheme="majorHAnsi" w:hAnsiTheme="majorHAnsi"/>
          <w:lang w:val="es-AR"/>
        </w:rPr>
        <w:t>Juzgado del Trabajo Parral, caratulada: “Salazar y otros con I. Municipalidad de Parral”, Rol. No. 4096-1992. Este número difiere de la tabla proveída por la parte peticionaria en su comunicación de fecha 20 de febrero de 2007.</w:t>
      </w:r>
    </w:p>
  </w:footnote>
  <w:footnote w:id="37">
    <w:p w14:paraId="0903C3A3"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Petición inicial, págs. 4-5. Véase Anexo </w:t>
      </w:r>
      <w:r>
        <w:rPr>
          <w:rFonts w:asciiTheme="majorHAnsi" w:hAnsiTheme="majorHAnsi"/>
          <w:lang w:val="es-US"/>
        </w:rPr>
        <w:t>4</w:t>
      </w:r>
      <w:r w:rsidRPr="001D04E5">
        <w:rPr>
          <w:rFonts w:asciiTheme="majorHAnsi" w:hAnsiTheme="majorHAnsi"/>
          <w:lang w:val="es-US"/>
        </w:rPr>
        <w:t xml:space="preserve">. Tomo I. Demanda en Benavides c. Municipalidad de Chañaral; Anexo </w:t>
      </w:r>
      <w:r>
        <w:rPr>
          <w:rFonts w:asciiTheme="majorHAnsi" w:hAnsiTheme="majorHAnsi"/>
          <w:lang w:val="es-US"/>
        </w:rPr>
        <w:t>4</w:t>
      </w:r>
      <w:r w:rsidRPr="001D04E5">
        <w:rPr>
          <w:rFonts w:asciiTheme="majorHAnsi" w:hAnsiTheme="majorHAnsi"/>
          <w:lang w:val="es-US"/>
        </w:rPr>
        <w:t xml:space="preserve">. Sentencia de primera instancia en Benavides c. Municipalidad de Chañaral; Anexo </w:t>
      </w:r>
      <w:r>
        <w:rPr>
          <w:rFonts w:asciiTheme="majorHAnsi" w:hAnsiTheme="majorHAnsi"/>
          <w:lang w:val="es-US"/>
        </w:rPr>
        <w:t>4</w:t>
      </w:r>
      <w:r w:rsidRPr="001D04E5">
        <w:rPr>
          <w:rFonts w:asciiTheme="majorHAnsi" w:hAnsiTheme="majorHAnsi"/>
          <w:lang w:val="es-US"/>
        </w:rPr>
        <w:t xml:space="preserve">. Tomo I. Sentencia de segunda instancia en Benavides c. Municipalidad de Chañaral. Anexos a la petición inicial. </w:t>
      </w:r>
    </w:p>
  </w:footnote>
  <w:footnote w:id="38">
    <w:p w14:paraId="7074FF7B"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Petición inicial, págs. </w:t>
      </w:r>
      <w:r w:rsidRPr="00E9397C">
        <w:rPr>
          <w:rFonts w:asciiTheme="majorHAnsi" w:hAnsiTheme="majorHAnsi"/>
          <w:lang w:val="pt-BR"/>
        </w:rPr>
        <w:t xml:space="preserve">5-6; Anexo </w:t>
      </w:r>
      <w:r>
        <w:rPr>
          <w:rFonts w:asciiTheme="majorHAnsi" w:hAnsiTheme="majorHAnsi"/>
          <w:lang w:val="pt-BR"/>
        </w:rPr>
        <w:t>4</w:t>
      </w:r>
      <w:r w:rsidRPr="00E9397C">
        <w:rPr>
          <w:rFonts w:asciiTheme="majorHAnsi" w:hAnsiTheme="majorHAnsi"/>
          <w:lang w:val="pt-BR"/>
        </w:rPr>
        <w:t xml:space="preserve">. </w:t>
      </w:r>
      <w:r w:rsidRPr="001D04E5">
        <w:rPr>
          <w:rFonts w:asciiTheme="majorHAnsi" w:hAnsiTheme="majorHAnsi"/>
          <w:lang w:val="pt-BR"/>
        </w:rPr>
        <w:t xml:space="preserve">Tomo I (a fojas 360, 366, 368); Anexo </w:t>
      </w:r>
      <w:r>
        <w:rPr>
          <w:rFonts w:asciiTheme="majorHAnsi" w:hAnsiTheme="majorHAnsi"/>
          <w:lang w:val="pt-BR"/>
        </w:rPr>
        <w:t>4</w:t>
      </w:r>
      <w:r w:rsidRPr="001D04E5">
        <w:rPr>
          <w:rFonts w:asciiTheme="majorHAnsi" w:hAnsiTheme="majorHAnsi"/>
          <w:lang w:val="pt-BR"/>
        </w:rPr>
        <w:t xml:space="preserve">. </w:t>
      </w:r>
      <w:r w:rsidRPr="001D04E5">
        <w:rPr>
          <w:rFonts w:asciiTheme="majorHAnsi" w:hAnsiTheme="majorHAnsi"/>
          <w:lang w:val="es-US"/>
        </w:rPr>
        <w:t xml:space="preserve">Tomo II. Resolución del 29 de octubre de 2005 (a fojas 500). Anexos a la petición inicial. </w:t>
      </w:r>
    </w:p>
  </w:footnote>
  <w:footnote w:id="39">
    <w:p w14:paraId="537A0586" w14:textId="77777777" w:rsidR="00F5327F" w:rsidRPr="001D04E5" w:rsidRDefault="00F5327F" w:rsidP="00CB4C8A">
      <w:pPr>
        <w:pStyle w:val="FootnoteText"/>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Petición inicial, pág. 7. Anexo </w:t>
      </w:r>
      <w:r>
        <w:rPr>
          <w:rFonts w:asciiTheme="majorHAnsi" w:hAnsiTheme="majorHAnsi"/>
          <w:lang w:val="es-US"/>
        </w:rPr>
        <w:t>4</w:t>
      </w:r>
      <w:r w:rsidRPr="001D04E5">
        <w:rPr>
          <w:rFonts w:asciiTheme="majorHAnsi" w:hAnsiTheme="majorHAnsi"/>
          <w:lang w:val="es-US"/>
        </w:rPr>
        <w:t>. Tomo II. Certificado de fecha 16 de junio de 2005 (a fojas 646). Anexo a la petición inicial.</w:t>
      </w:r>
    </w:p>
  </w:footnote>
  <w:footnote w:id="40">
    <w:p w14:paraId="0B32B8A1" w14:textId="77777777" w:rsidR="00F5327F" w:rsidRPr="001D04E5" w:rsidRDefault="00F5327F" w:rsidP="00CB4C8A">
      <w:pPr>
        <w:pStyle w:val="FootnoteText"/>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Petición inicial, pág. 7. Anexo </w:t>
      </w:r>
      <w:r>
        <w:rPr>
          <w:rFonts w:asciiTheme="majorHAnsi" w:hAnsiTheme="majorHAnsi"/>
          <w:lang w:val="es-US"/>
        </w:rPr>
        <w:t>4</w:t>
      </w:r>
      <w:r w:rsidRPr="001D04E5">
        <w:rPr>
          <w:rFonts w:asciiTheme="majorHAnsi" w:hAnsiTheme="majorHAnsi"/>
          <w:lang w:val="es-US"/>
        </w:rPr>
        <w:t xml:space="preserve">. </w:t>
      </w:r>
      <w:r w:rsidRPr="00E9397C">
        <w:rPr>
          <w:rFonts w:asciiTheme="majorHAnsi" w:hAnsiTheme="majorHAnsi"/>
          <w:lang w:val="es-US"/>
        </w:rPr>
        <w:t xml:space="preserve">Tomo II. Escritos a fojas 647-652. </w:t>
      </w:r>
      <w:r w:rsidRPr="001D04E5">
        <w:rPr>
          <w:rFonts w:asciiTheme="majorHAnsi" w:hAnsiTheme="majorHAnsi"/>
          <w:lang w:val="es-US"/>
        </w:rPr>
        <w:t>Anexo a la petición inicial.</w:t>
      </w:r>
    </w:p>
  </w:footnote>
  <w:footnote w:id="41">
    <w:p w14:paraId="33E1AEE3" w14:textId="77777777" w:rsidR="00F5327F" w:rsidRPr="001D04E5" w:rsidRDefault="00F5327F" w:rsidP="00CB4C8A">
      <w:pPr>
        <w:pStyle w:val="FootnoteText"/>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Anexo </w:t>
      </w:r>
      <w:r>
        <w:rPr>
          <w:rFonts w:asciiTheme="majorHAnsi" w:hAnsiTheme="majorHAnsi"/>
          <w:lang w:val="es-US"/>
        </w:rPr>
        <w:t>4</w:t>
      </w:r>
      <w:r w:rsidRPr="001D04E5">
        <w:rPr>
          <w:rFonts w:asciiTheme="majorHAnsi" w:hAnsiTheme="majorHAnsi"/>
          <w:lang w:val="es-US"/>
        </w:rPr>
        <w:t>. Tomo II. Escrito a fojas 653. Anexo a la petición inicial.</w:t>
      </w:r>
    </w:p>
  </w:footnote>
  <w:footnote w:id="42">
    <w:p w14:paraId="73FF0F5B" w14:textId="77777777" w:rsidR="00F5327F" w:rsidRPr="001D04E5" w:rsidRDefault="00F5327F" w:rsidP="00CB4C8A">
      <w:pPr>
        <w:pStyle w:val="FootnoteText"/>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Petición inicial, pág. 8.</w:t>
      </w:r>
    </w:p>
  </w:footnote>
  <w:footnote w:id="43">
    <w:p w14:paraId="1AFD0E8C" w14:textId="77777777" w:rsidR="00F5327F" w:rsidRPr="001D04E5" w:rsidRDefault="00F5327F" w:rsidP="00CB4C8A">
      <w:pPr>
        <w:pStyle w:val="FootnoteText"/>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Petición inicial, pág. 11; Anexo </w:t>
      </w:r>
      <w:r>
        <w:rPr>
          <w:rFonts w:asciiTheme="majorHAnsi" w:hAnsiTheme="majorHAnsi"/>
          <w:lang w:val="es-US"/>
        </w:rPr>
        <w:t>4</w:t>
      </w:r>
      <w:r w:rsidRPr="001D04E5">
        <w:rPr>
          <w:rFonts w:asciiTheme="majorHAnsi" w:hAnsiTheme="majorHAnsi"/>
          <w:lang w:val="es-US"/>
        </w:rPr>
        <w:t>. Tomo II. Orden a fojas 613. Anexo a la petición inicial.</w:t>
      </w:r>
    </w:p>
  </w:footnote>
  <w:footnote w:id="44">
    <w:p w14:paraId="7923C754" w14:textId="77777777" w:rsidR="00F5327F" w:rsidRPr="001D04E5" w:rsidRDefault="00F5327F" w:rsidP="00CB4C8A">
      <w:pPr>
        <w:pStyle w:val="FootnoteText"/>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Petición inicial, pág. 11; Anexo </w:t>
      </w:r>
      <w:r>
        <w:rPr>
          <w:rFonts w:asciiTheme="majorHAnsi" w:hAnsiTheme="majorHAnsi"/>
          <w:lang w:val="es-US"/>
        </w:rPr>
        <w:t>4</w:t>
      </w:r>
      <w:r w:rsidRPr="001D04E5">
        <w:rPr>
          <w:rFonts w:asciiTheme="majorHAnsi" w:hAnsiTheme="majorHAnsi"/>
          <w:lang w:val="es-US"/>
        </w:rPr>
        <w:t>. Tomo II. Sentencia a fojas 628. Anexo a la petición inicial.</w:t>
      </w:r>
    </w:p>
  </w:footnote>
  <w:footnote w:id="45">
    <w:p w14:paraId="6CA2E3BD"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Anexo </w:t>
      </w:r>
      <w:r>
        <w:rPr>
          <w:rFonts w:asciiTheme="majorHAnsi" w:hAnsiTheme="majorHAnsi"/>
          <w:lang w:val="es-US"/>
        </w:rPr>
        <w:t>4</w:t>
      </w:r>
      <w:r w:rsidRPr="001D04E5">
        <w:rPr>
          <w:rFonts w:asciiTheme="majorHAnsi" w:hAnsiTheme="majorHAnsi"/>
          <w:lang w:val="es-US"/>
        </w:rPr>
        <w:t xml:space="preserve">. Sentencia en Municipalidad de Chañaral c. Fisco de 14 de mayo de 2001; Anexo </w:t>
      </w:r>
      <w:r>
        <w:rPr>
          <w:rFonts w:asciiTheme="majorHAnsi" w:hAnsiTheme="majorHAnsi"/>
          <w:lang w:val="es-US"/>
        </w:rPr>
        <w:t>4</w:t>
      </w:r>
      <w:r w:rsidRPr="001D04E5">
        <w:rPr>
          <w:rFonts w:asciiTheme="majorHAnsi" w:hAnsiTheme="majorHAnsi"/>
          <w:lang w:val="es-US"/>
        </w:rPr>
        <w:t xml:space="preserve">. Sentencia de segunda instancia (Corte de Apelaciones de Santiago) en Municipalidad de Chañaral c. Fisco de 12 de octubre de 2006; Anexo </w:t>
      </w:r>
      <w:r>
        <w:rPr>
          <w:rFonts w:asciiTheme="majorHAnsi" w:hAnsiTheme="majorHAnsi"/>
          <w:lang w:val="es-US"/>
        </w:rPr>
        <w:t>4</w:t>
      </w:r>
      <w:r w:rsidRPr="001D04E5">
        <w:rPr>
          <w:rFonts w:asciiTheme="majorHAnsi" w:hAnsiTheme="majorHAnsi"/>
          <w:lang w:val="es-US"/>
        </w:rPr>
        <w:t>. Resolución s/recurso de casación (Corte Suprema) en Municipalidad de Chañaral c. Fisco de 12 de junio de 2008. Anexos 2-4 al escrito de la parte peticionaria de 15 de diciembre de 2008.</w:t>
      </w:r>
    </w:p>
  </w:footnote>
  <w:footnote w:id="46">
    <w:p w14:paraId="4007BE2D"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Anexo </w:t>
      </w:r>
      <w:r>
        <w:rPr>
          <w:rFonts w:asciiTheme="majorHAnsi" w:hAnsiTheme="majorHAnsi"/>
          <w:lang w:val="es-US"/>
        </w:rPr>
        <w:t>4</w:t>
      </w:r>
      <w:r w:rsidRPr="001D04E5">
        <w:rPr>
          <w:rFonts w:asciiTheme="majorHAnsi" w:hAnsiTheme="majorHAnsi"/>
          <w:lang w:val="es-US"/>
        </w:rPr>
        <w:t>. Resolución s/recurso de casación (Corte Suprema) en Municipalidad de Chañaral c. Fisco de 12 de junio de 2008, considerando décimo cuarto. Anexo 4 al escrito de la parte peticionaria de 15 de diciembre de 2008.</w:t>
      </w:r>
    </w:p>
  </w:footnote>
  <w:footnote w:id="47">
    <w:p w14:paraId="04178936"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Estas demandas corresponden a los dos casos de Chanco (</w:t>
      </w:r>
      <w:r w:rsidRPr="001D04E5">
        <w:rPr>
          <w:rFonts w:asciiTheme="majorHAnsi" w:hAnsiTheme="majorHAnsi"/>
          <w:lang w:val="es-MX"/>
        </w:rPr>
        <w:t>Franzani c. Municipalidad de Chanco, Rols. 217-1993 y 221-1993). Las demandas contra el Fisco de Chile son caratuladas: Municipalidad de Chanco c. Fisco de Chile, Rols. C-1860-2000 y 1864-2000, y se encuentran en Anexo I al escrito de la parte peticionaria de fecha 21 de enero de 2011.</w:t>
      </w:r>
    </w:p>
  </w:footnote>
  <w:footnote w:id="48">
    <w:p w14:paraId="15F78D53"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w:t>
      </w:r>
      <w:r w:rsidRPr="001D04E5">
        <w:rPr>
          <w:rFonts w:asciiTheme="majorHAnsi" w:hAnsiTheme="majorHAnsi"/>
          <w:lang w:val="es-MX"/>
        </w:rPr>
        <w:t xml:space="preserve">Escrito de la parte peticionaria de fecha 21 de enero de 2011. Véase también </w:t>
      </w:r>
      <w:r w:rsidRPr="001D04E5">
        <w:rPr>
          <w:rFonts w:asciiTheme="majorHAnsi" w:hAnsiTheme="majorHAnsi"/>
          <w:lang w:val="es-US"/>
        </w:rPr>
        <w:t xml:space="preserve">Anexo </w:t>
      </w:r>
      <w:r>
        <w:rPr>
          <w:rFonts w:asciiTheme="majorHAnsi" w:hAnsiTheme="majorHAnsi"/>
          <w:lang w:val="es-US"/>
        </w:rPr>
        <w:t>17</w:t>
      </w:r>
      <w:r w:rsidRPr="001D04E5">
        <w:rPr>
          <w:rFonts w:asciiTheme="majorHAnsi" w:hAnsiTheme="majorHAnsi"/>
          <w:lang w:val="es-US"/>
        </w:rPr>
        <w:t xml:space="preserve">. Documentos en causas </w:t>
      </w:r>
      <w:r w:rsidRPr="001D04E5">
        <w:rPr>
          <w:rFonts w:asciiTheme="majorHAnsi" w:hAnsiTheme="majorHAnsi"/>
          <w:lang w:val="es-MX"/>
        </w:rPr>
        <w:t>Municipalidad de Chanco c. Fisco. Anexo I al escrito de la parte peticionaria de fecha 21 de enero de 2011.</w:t>
      </w:r>
    </w:p>
  </w:footnote>
  <w:footnote w:id="49">
    <w:p w14:paraId="54F55F2D"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w:t>
      </w:r>
      <w:r w:rsidRPr="001D04E5">
        <w:rPr>
          <w:rFonts w:asciiTheme="majorHAnsi" w:hAnsiTheme="majorHAnsi"/>
          <w:lang w:val="es-MX"/>
        </w:rPr>
        <w:t>Escrito de la parte peticionaria de fecha 21 de enero de 2011.</w:t>
      </w:r>
    </w:p>
  </w:footnote>
  <w:footnote w:id="50">
    <w:p w14:paraId="645119C3"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w:t>
      </w:r>
      <w:r w:rsidRPr="001D04E5">
        <w:rPr>
          <w:rFonts w:asciiTheme="majorHAnsi" w:hAnsiTheme="majorHAnsi"/>
          <w:lang w:val="es-MX"/>
        </w:rPr>
        <w:t xml:space="preserve">Escrito de la parte peticionaria de fecha 21 de enero de 2011 Véase también </w:t>
      </w:r>
      <w:r w:rsidRPr="001D04E5">
        <w:rPr>
          <w:rFonts w:asciiTheme="majorHAnsi" w:hAnsiTheme="majorHAnsi"/>
          <w:lang w:val="es-US"/>
        </w:rPr>
        <w:t xml:space="preserve">Anexo </w:t>
      </w:r>
      <w:r>
        <w:rPr>
          <w:rFonts w:asciiTheme="majorHAnsi" w:hAnsiTheme="majorHAnsi"/>
          <w:lang w:val="es-US"/>
        </w:rPr>
        <w:t>18</w:t>
      </w:r>
      <w:r w:rsidRPr="001D04E5">
        <w:rPr>
          <w:rFonts w:asciiTheme="majorHAnsi" w:hAnsiTheme="majorHAnsi"/>
          <w:lang w:val="es-US"/>
        </w:rPr>
        <w:t xml:space="preserve">. Convenios de pago y resoluciones en causas de Parral. </w:t>
      </w:r>
      <w:r w:rsidRPr="001D04E5">
        <w:rPr>
          <w:rFonts w:asciiTheme="majorHAnsi" w:hAnsiTheme="majorHAnsi"/>
          <w:lang w:val="es-MX"/>
        </w:rPr>
        <w:t>Anexo II al escrito de la parte peticionaria de fecha 21 de enero de 2011.</w:t>
      </w:r>
    </w:p>
  </w:footnote>
  <w:footnote w:id="51">
    <w:p w14:paraId="16563492"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w:t>
      </w:r>
      <w:r w:rsidRPr="001D04E5">
        <w:rPr>
          <w:rFonts w:asciiTheme="majorHAnsi" w:hAnsiTheme="majorHAnsi"/>
          <w:lang w:val="es-MX"/>
        </w:rPr>
        <w:t xml:space="preserve">Escrito de la parte peticionaria de fecha 21 de enero de 2011. Véase también </w:t>
      </w:r>
      <w:r w:rsidRPr="001D04E5">
        <w:rPr>
          <w:rFonts w:asciiTheme="majorHAnsi" w:hAnsiTheme="majorHAnsi"/>
          <w:lang w:val="es-US"/>
        </w:rPr>
        <w:t xml:space="preserve">Anexo </w:t>
      </w:r>
      <w:r>
        <w:rPr>
          <w:rFonts w:asciiTheme="majorHAnsi" w:hAnsiTheme="majorHAnsi"/>
          <w:lang w:val="es-US"/>
        </w:rPr>
        <w:t>19</w:t>
      </w:r>
      <w:r w:rsidRPr="001D04E5">
        <w:rPr>
          <w:rFonts w:asciiTheme="majorHAnsi" w:hAnsiTheme="majorHAnsi"/>
          <w:lang w:val="es-US"/>
        </w:rPr>
        <w:t>. Documentos relativos a causa de Vallenar</w:t>
      </w:r>
      <w:r w:rsidRPr="001D04E5">
        <w:rPr>
          <w:rFonts w:asciiTheme="majorHAnsi" w:hAnsiTheme="majorHAnsi"/>
          <w:lang w:val="es-MX"/>
        </w:rPr>
        <w:t>. Anexo III al escrito de la parte peticionaria de fecha 21 de enero de 2011.</w:t>
      </w:r>
    </w:p>
  </w:footnote>
  <w:footnote w:id="52">
    <w:p w14:paraId="042B79A5"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pt-BR"/>
        </w:rPr>
        <w:t xml:space="preserve"> Anexo </w:t>
      </w:r>
      <w:r>
        <w:rPr>
          <w:rFonts w:asciiTheme="majorHAnsi" w:hAnsiTheme="majorHAnsi"/>
          <w:lang w:val="pt-BR"/>
        </w:rPr>
        <w:t>20</w:t>
      </w:r>
      <w:r w:rsidRPr="001D04E5">
        <w:rPr>
          <w:rFonts w:asciiTheme="majorHAnsi" w:hAnsiTheme="majorHAnsi"/>
          <w:lang w:val="pt-BR"/>
        </w:rPr>
        <w:t xml:space="preserve">. Documentos relativos a causa de Agurto. </w:t>
      </w:r>
      <w:r w:rsidRPr="001D04E5">
        <w:rPr>
          <w:rFonts w:asciiTheme="majorHAnsi" w:hAnsiTheme="majorHAnsi"/>
          <w:lang w:val="es-MX"/>
        </w:rPr>
        <w:t>Anexo IV al escrito de la parte peticionaria de fecha 21 de enero de 2011.</w:t>
      </w:r>
    </w:p>
  </w:footnote>
  <w:footnote w:id="53">
    <w:p w14:paraId="12E64FB0" w14:textId="77777777" w:rsidR="00F5327F" w:rsidRPr="001D04E5" w:rsidRDefault="00F5327F" w:rsidP="00CB4C8A">
      <w:pPr>
        <w:pStyle w:val="FootnoteText"/>
        <w:jc w:val="both"/>
        <w:rPr>
          <w:lang w:val="es-US"/>
        </w:rPr>
      </w:pPr>
      <w:r w:rsidRPr="001D04E5">
        <w:rPr>
          <w:rStyle w:val="FootnoteReference"/>
        </w:rPr>
        <w:footnoteRef/>
      </w:r>
      <w:r w:rsidRPr="001D04E5">
        <w:rPr>
          <w:lang w:val="pt-BR"/>
        </w:rPr>
        <w:t xml:space="preserve"> </w:t>
      </w:r>
      <w:r w:rsidRPr="001D04E5">
        <w:rPr>
          <w:rFonts w:asciiTheme="majorHAnsi" w:hAnsiTheme="majorHAnsi"/>
          <w:lang w:val="pt-BR"/>
        </w:rPr>
        <w:t xml:space="preserve">Anexo </w:t>
      </w:r>
      <w:r>
        <w:rPr>
          <w:rFonts w:asciiTheme="majorHAnsi" w:hAnsiTheme="majorHAnsi"/>
          <w:lang w:val="pt-BR"/>
        </w:rPr>
        <w:t>21</w:t>
      </w:r>
      <w:r w:rsidRPr="001D04E5">
        <w:rPr>
          <w:rFonts w:asciiTheme="majorHAnsi" w:hAnsiTheme="majorHAnsi"/>
          <w:lang w:val="pt-BR"/>
        </w:rPr>
        <w:t xml:space="preserve">. Documentos relativos a causa de Barra. </w:t>
      </w:r>
      <w:r w:rsidRPr="001D04E5">
        <w:rPr>
          <w:rFonts w:asciiTheme="majorHAnsi" w:hAnsiTheme="majorHAnsi"/>
          <w:lang w:val="es-MX"/>
        </w:rPr>
        <w:t>Anexo IV al escrito de la parte peticionaria de fecha 21 de enero de 2011.</w:t>
      </w:r>
    </w:p>
  </w:footnote>
  <w:footnote w:id="54">
    <w:p w14:paraId="288BD4E0"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pt-BR"/>
        </w:rPr>
        <w:t xml:space="preserve"> Anexo </w:t>
      </w:r>
      <w:r>
        <w:rPr>
          <w:rFonts w:asciiTheme="majorHAnsi" w:hAnsiTheme="majorHAnsi"/>
          <w:lang w:val="pt-BR"/>
        </w:rPr>
        <w:t>22</w:t>
      </w:r>
      <w:r w:rsidRPr="001D04E5">
        <w:rPr>
          <w:rFonts w:asciiTheme="majorHAnsi" w:hAnsiTheme="majorHAnsi"/>
          <w:lang w:val="pt-BR"/>
        </w:rPr>
        <w:t xml:space="preserve">. Documentos relativos a causa de Aguilera. </w:t>
      </w:r>
      <w:r w:rsidRPr="001D04E5">
        <w:rPr>
          <w:rFonts w:asciiTheme="majorHAnsi" w:hAnsiTheme="majorHAnsi"/>
          <w:lang w:val="es-MX"/>
        </w:rPr>
        <w:t>Anexo IV al escrito de la parte peticionaria de fecha 21 de enero de 2011.</w:t>
      </w:r>
    </w:p>
  </w:footnote>
  <w:footnote w:id="55">
    <w:p w14:paraId="17726939"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w:t>
      </w:r>
      <w:r w:rsidRPr="001D04E5">
        <w:rPr>
          <w:rFonts w:asciiTheme="majorHAnsi" w:hAnsiTheme="majorHAnsi"/>
          <w:lang w:val="es-MX"/>
        </w:rPr>
        <w:t xml:space="preserve">Escrito de la parte peticionaria de fecha 21 de enero de 2011 y su anexo IV. Véase también </w:t>
      </w:r>
      <w:r w:rsidRPr="001D04E5">
        <w:rPr>
          <w:rFonts w:asciiTheme="majorHAnsi" w:hAnsiTheme="majorHAnsi"/>
          <w:lang w:val="es-US"/>
        </w:rPr>
        <w:t xml:space="preserve">Anexo </w:t>
      </w:r>
      <w:r>
        <w:rPr>
          <w:rFonts w:asciiTheme="majorHAnsi" w:hAnsiTheme="majorHAnsi"/>
          <w:lang w:val="es-US"/>
        </w:rPr>
        <w:t>23</w:t>
      </w:r>
      <w:r w:rsidRPr="001D04E5">
        <w:rPr>
          <w:rFonts w:asciiTheme="majorHAnsi" w:hAnsiTheme="majorHAnsi"/>
          <w:lang w:val="es-US"/>
        </w:rPr>
        <w:t>. Resolucion s/recurso de casación (Corte Suprema) en Municipalidad de Cauquenes c. Fisco de 19 de noviembre de 2003. Anexo 5 al escrito de la parte peticionaria de 15 de diciembre de 2008.</w:t>
      </w:r>
    </w:p>
  </w:footnote>
  <w:footnote w:id="56">
    <w:p w14:paraId="1B3B6D00"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Anexo </w:t>
      </w:r>
      <w:r>
        <w:rPr>
          <w:rFonts w:asciiTheme="majorHAnsi" w:hAnsiTheme="majorHAnsi"/>
          <w:lang w:val="es-US"/>
        </w:rPr>
        <w:t>24</w:t>
      </w:r>
      <w:r w:rsidRPr="001D04E5">
        <w:rPr>
          <w:rFonts w:asciiTheme="majorHAnsi" w:hAnsiTheme="majorHAnsi"/>
          <w:lang w:val="es-US"/>
        </w:rPr>
        <w:t>. Convenio de Pago y Avenimiento, Chañaral (28 dic 2007). Anexo 6 al escrito de la parte peticionaria de 15 de diciembre de 2008.</w:t>
      </w:r>
    </w:p>
  </w:footnote>
  <w:footnote w:id="57">
    <w:p w14:paraId="51D162CE"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Anexo </w:t>
      </w:r>
      <w:r>
        <w:rPr>
          <w:rFonts w:asciiTheme="majorHAnsi" w:hAnsiTheme="majorHAnsi"/>
          <w:lang w:val="es-US"/>
        </w:rPr>
        <w:t>25</w:t>
      </w:r>
      <w:r w:rsidRPr="001D04E5">
        <w:rPr>
          <w:rFonts w:asciiTheme="majorHAnsi" w:hAnsiTheme="majorHAnsi"/>
          <w:lang w:val="es-US"/>
        </w:rPr>
        <w:t>. Dan Cuenta de Pago, Chañaral (2 jun 2008). Anexo 9 al escrito de la parte peticionaria de 15 de diciembre de 2008.</w:t>
      </w:r>
    </w:p>
  </w:footnote>
  <w:footnote w:id="58">
    <w:p w14:paraId="68C84F73"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Anexo </w:t>
      </w:r>
      <w:r>
        <w:rPr>
          <w:rFonts w:asciiTheme="majorHAnsi" w:hAnsiTheme="majorHAnsi"/>
          <w:lang w:val="es-US"/>
        </w:rPr>
        <w:t>26</w:t>
      </w:r>
      <w:r w:rsidRPr="001D04E5">
        <w:rPr>
          <w:rFonts w:asciiTheme="majorHAnsi" w:hAnsiTheme="majorHAnsi"/>
          <w:lang w:val="es-US"/>
        </w:rPr>
        <w:t>. Convenio de Pago y Avenimiento, Vallenar (19 ene 2007). Anexo 10 al escrito de la parte peticionaria de 15 de diciembre de 2008.</w:t>
      </w:r>
    </w:p>
  </w:footnote>
  <w:footnote w:id="59">
    <w:p w14:paraId="679CEE14"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Anexo </w:t>
      </w:r>
      <w:r>
        <w:rPr>
          <w:rFonts w:asciiTheme="majorHAnsi" w:hAnsiTheme="majorHAnsi"/>
          <w:lang w:val="es-US"/>
        </w:rPr>
        <w:t>27</w:t>
      </w:r>
      <w:r w:rsidRPr="001D04E5">
        <w:rPr>
          <w:rFonts w:asciiTheme="majorHAnsi" w:hAnsiTheme="majorHAnsi"/>
          <w:lang w:val="es-US"/>
        </w:rPr>
        <w:t>. Dan Cuenta de Pago, Vallenar (10 may 2007). Anexo 13 al escrito de la parte peticionaria de 15 de diciembre de 2008.</w:t>
      </w:r>
    </w:p>
  </w:footnote>
  <w:footnote w:id="60">
    <w:p w14:paraId="0A666669"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Escrito de la parte peticionaria de 15 de diciembre de 2008.</w:t>
      </w:r>
    </w:p>
  </w:footnote>
  <w:footnote w:id="61">
    <w:p w14:paraId="15738843"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Escrito de la parte peticionaria de 15 de diciembre de 2008; véase también Anexos 7 y 11 a dicho escrito.</w:t>
      </w:r>
    </w:p>
  </w:footnote>
  <w:footnote w:id="62">
    <w:p w14:paraId="0C3F3C13" w14:textId="77777777" w:rsidR="00F5327F" w:rsidRPr="001D04E5" w:rsidRDefault="00F5327F" w:rsidP="00CB4C8A">
      <w:pPr>
        <w:pStyle w:val="FootnoteText"/>
        <w:jc w:val="both"/>
        <w:rPr>
          <w:lang w:val="es-US"/>
        </w:rPr>
      </w:pPr>
      <w:r w:rsidRPr="001D04E5">
        <w:rPr>
          <w:rStyle w:val="FootnoteReference"/>
          <w:rFonts w:asciiTheme="majorHAnsi" w:hAnsiTheme="majorHAnsi"/>
        </w:rPr>
        <w:footnoteRef/>
      </w:r>
      <w:r w:rsidRPr="001D04E5">
        <w:rPr>
          <w:rFonts w:asciiTheme="majorHAnsi" w:hAnsiTheme="majorHAnsi"/>
          <w:lang w:val="es-US"/>
        </w:rPr>
        <w:t xml:space="preserve"> Escrito de la parte peticionaria de 15 de diciembre de 2008, pág. 25.</w:t>
      </w:r>
    </w:p>
  </w:footnote>
  <w:footnote w:id="63">
    <w:p w14:paraId="70F04E2F" w14:textId="77777777" w:rsidR="00F5327F" w:rsidRPr="0089796E" w:rsidRDefault="00F5327F" w:rsidP="00CB4C8A">
      <w:pPr>
        <w:pStyle w:val="FootnoteText"/>
        <w:jc w:val="both"/>
        <w:rPr>
          <w:rFonts w:asciiTheme="majorHAnsi" w:hAnsiTheme="majorHAnsi"/>
          <w:lang w:val="es-US"/>
        </w:rPr>
      </w:pPr>
      <w:r w:rsidRPr="00BC2060">
        <w:rPr>
          <w:rStyle w:val="FootnoteReference"/>
          <w:rFonts w:asciiTheme="majorHAnsi" w:hAnsiTheme="majorHAnsi"/>
        </w:rPr>
        <w:footnoteRef/>
      </w:r>
      <w:r w:rsidRPr="00947168">
        <w:rPr>
          <w:rFonts w:asciiTheme="majorHAnsi" w:hAnsiTheme="majorHAnsi"/>
          <w:lang w:val="es-CO"/>
        </w:rPr>
        <w:t xml:space="preserve"> </w:t>
      </w:r>
      <w:r>
        <w:rPr>
          <w:rFonts w:asciiTheme="majorHAnsi" w:hAnsiTheme="majorHAnsi"/>
          <w:lang w:val="es-CO"/>
        </w:rPr>
        <w:t xml:space="preserve">Anexo 2. </w:t>
      </w:r>
      <w:r w:rsidRPr="001D04E5">
        <w:rPr>
          <w:rFonts w:asciiTheme="majorHAnsi" w:hAnsiTheme="majorHAnsi"/>
          <w:lang w:val="es-US"/>
        </w:rPr>
        <w:t>Informe de la OIT sobre la “deuda histórica”.</w:t>
      </w:r>
      <w:r w:rsidRPr="00BC2060">
        <w:rPr>
          <w:rFonts w:asciiTheme="majorHAnsi" w:hAnsiTheme="majorHAnsi"/>
          <w:lang w:val="es-US"/>
        </w:rPr>
        <w:t xml:space="preserve"> párr. 46.</w:t>
      </w:r>
    </w:p>
  </w:footnote>
  <w:footnote w:id="64">
    <w:p w14:paraId="4DF4647F" w14:textId="77777777" w:rsidR="00F5327F" w:rsidRPr="0089796E" w:rsidRDefault="00F5327F" w:rsidP="00CB4C8A">
      <w:pPr>
        <w:pStyle w:val="FootnoteText"/>
        <w:jc w:val="both"/>
        <w:rPr>
          <w:rFonts w:asciiTheme="majorHAnsi" w:hAnsiTheme="majorHAnsi"/>
          <w:lang w:val="es-US"/>
        </w:rPr>
      </w:pPr>
      <w:r w:rsidRPr="0089796E">
        <w:rPr>
          <w:rStyle w:val="FootnoteReference"/>
          <w:rFonts w:asciiTheme="majorHAnsi" w:hAnsiTheme="majorHAnsi"/>
        </w:rPr>
        <w:footnoteRef/>
      </w:r>
      <w:r w:rsidRPr="0089796E">
        <w:rPr>
          <w:rFonts w:asciiTheme="majorHAnsi" w:hAnsiTheme="majorHAnsi"/>
          <w:lang w:val="es-US"/>
        </w:rPr>
        <w:t xml:space="preserve"> </w:t>
      </w:r>
      <w:r>
        <w:rPr>
          <w:rFonts w:asciiTheme="majorHAnsi" w:hAnsiTheme="majorHAnsi"/>
          <w:lang w:val="es-US"/>
        </w:rPr>
        <w:t xml:space="preserve">Anexo 2. </w:t>
      </w:r>
      <w:r w:rsidRPr="001D04E5">
        <w:rPr>
          <w:rFonts w:asciiTheme="majorHAnsi" w:hAnsiTheme="majorHAnsi"/>
          <w:lang w:val="es-US"/>
        </w:rPr>
        <w:t>Informe de la OIT sobre la “deuda histórica”.</w:t>
      </w:r>
      <w:r>
        <w:rPr>
          <w:rFonts w:asciiTheme="majorHAnsi" w:hAnsiTheme="majorHAnsi"/>
          <w:lang w:val="es-US"/>
        </w:rPr>
        <w:t xml:space="preserve"> </w:t>
      </w:r>
      <w:r w:rsidRPr="0089796E">
        <w:rPr>
          <w:rFonts w:asciiTheme="majorHAnsi" w:hAnsiTheme="majorHAnsi"/>
          <w:lang w:val="es-US"/>
        </w:rPr>
        <w:t>párr. 66.</w:t>
      </w:r>
    </w:p>
  </w:footnote>
  <w:footnote w:id="65">
    <w:p w14:paraId="33C04D0E"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w:t>
      </w:r>
      <w:r w:rsidRPr="001D04E5">
        <w:rPr>
          <w:rFonts w:asciiTheme="majorHAnsi" w:hAnsiTheme="majorHAnsi" w:cs="Tahoma"/>
          <w:lang w:val="es-ES"/>
        </w:rPr>
        <w:t> Artículo 8.1: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66">
    <w:p w14:paraId="7358E1A8"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Artículo 21.1:</w:t>
      </w:r>
      <w:r w:rsidRPr="001D04E5">
        <w:rPr>
          <w:rFonts w:asciiTheme="majorHAnsi" w:eastAsia="Arial Unicode MS" w:hAnsiTheme="majorHAnsi" w:cs="Tahoma"/>
          <w:lang w:val="es-ES" w:eastAsia="en-US"/>
        </w:rPr>
        <w:t> Toda persona tiene derecho al uso y goce de sus bienes.  La ley puede subordinar tal uso y goce al interés social.</w:t>
      </w:r>
    </w:p>
  </w:footnote>
  <w:footnote w:id="67">
    <w:p w14:paraId="33D5E67D"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Artículo 25.2.c): </w:t>
      </w:r>
      <w:r w:rsidRPr="001D04E5">
        <w:rPr>
          <w:rFonts w:asciiTheme="majorHAnsi" w:hAnsiTheme="majorHAnsi" w:cs="Tahoma"/>
          <w:lang w:val="es-ES"/>
        </w:rPr>
        <w:t xml:space="preserve">Los Estados Partes se comprometen a garantizar el cumplimiento, por las autoridades competentes, de toda decisión en que se haya estimado procedente el recurso. </w:t>
      </w:r>
    </w:p>
  </w:footnote>
  <w:footnote w:id="68">
    <w:p w14:paraId="2FF81803" w14:textId="77777777" w:rsidR="00F5327F" w:rsidRPr="001D04E5" w:rsidRDefault="00F5327F" w:rsidP="00CB4C8A">
      <w:pPr>
        <w:pStyle w:val="FootnoteText"/>
        <w:jc w:val="both"/>
        <w:rPr>
          <w:rFonts w:asciiTheme="majorHAnsi" w:hAnsiTheme="majorHAnsi"/>
          <w:bCs/>
          <w:lang w:val="es-ES"/>
        </w:rPr>
      </w:pPr>
      <w:r w:rsidRPr="001D04E5">
        <w:rPr>
          <w:rStyle w:val="FootnoteReference"/>
          <w:rFonts w:asciiTheme="majorHAnsi" w:hAnsiTheme="majorHAnsi"/>
          <w:lang w:val="es-ES"/>
        </w:rPr>
        <w:footnoteRef/>
      </w:r>
      <w:r w:rsidRPr="001D04E5">
        <w:rPr>
          <w:rFonts w:asciiTheme="majorHAnsi" w:hAnsiTheme="majorHAnsi"/>
          <w:lang w:val="pt-BR"/>
        </w:rPr>
        <w:t xml:space="preserve">  Corte IDH. </w:t>
      </w:r>
      <w:r w:rsidRPr="001D04E5">
        <w:rPr>
          <w:rFonts w:asciiTheme="majorHAnsi" w:hAnsiTheme="majorHAnsi"/>
          <w:bCs/>
          <w:lang w:val="pt-BR"/>
        </w:rPr>
        <w:t xml:space="preserve">Caso Suárez Rosero Vs. </w:t>
      </w:r>
      <w:r w:rsidRPr="001D04E5">
        <w:rPr>
          <w:rFonts w:asciiTheme="majorHAnsi" w:hAnsiTheme="majorHAnsi"/>
          <w:bCs/>
          <w:lang w:val="es-ES"/>
        </w:rPr>
        <w:t>Ecuador. Fondo. Sentencia de 12 de noviembre de 1997. Serie C No. 35, párr. 65;</w:t>
      </w:r>
      <w:r w:rsidRPr="001D04E5">
        <w:rPr>
          <w:rFonts w:asciiTheme="majorHAnsi" w:hAnsiTheme="majorHAnsi"/>
          <w:lang w:val="es-EC"/>
        </w:rPr>
        <w:t xml:space="preserve"> y </w:t>
      </w:r>
      <w:r w:rsidRPr="001D04E5">
        <w:rPr>
          <w:rFonts w:asciiTheme="majorHAnsi" w:hAnsiTheme="majorHAnsi"/>
          <w:bCs/>
          <w:lang w:val="es-ES"/>
        </w:rPr>
        <w:t>Caso Rosendo Cantú y otra Vs. México. Excepción Preliminar, Fondo, Reparaciones y Costas. Sentencia de 31 de agosto de 2010. Serie C No. 216, párr. 166.</w:t>
      </w:r>
    </w:p>
  </w:footnote>
  <w:footnote w:id="69">
    <w:p w14:paraId="5BBDF352"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w:t>
      </w:r>
      <w:r w:rsidRPr="001D04E5">
        <w:rPr>
          <w:rFonts w:asciiTheme="majorHAnsi" w:eastAsia="Arial Unicode MS" w:hAnsiTheme="majorHAnsi" w:cs="Times New Roman"/>
          <w:bCs/>
          <w:shd w:val="clear" w:color="auto" w:fill="FFFFFF"/>
          <w:lang w:val="es-ES" w:eastAsia="en-US"/>
        </w:rPr>
        <w:t>Corte IDH. Caso Mejía Idrovo Vs. Ecuador. Excepciones Preliminares, Fondo, Reparaciones y Costas. Sentencia de 5 de julio de 2011. Serie C No. 228, párr. 104.</w:t>
      </w:r>
    </w:p>
  </w:footnote>
  <w:footnote w:id="70">
    <w:p w14:paraId="212C6E87"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CIDH, Caso 12.357, Demanda ante la Corte IDH, Integrantes de la Asociación de Cesantes y Jubilados de la Contraloría General de la República, Perú, 1 de abril de 2008, párr. 52.</w:t>
      </w:r>
    </w:p>
  </w:footnote>
  <w:footnote w:id="71">
    <w:p w14:paraId="4098ED6F"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w:t>
      </w:r>
      <w:r w:rsidRPr="001D04E5">
        <w:rPr>
          <w:rFonts w:asciiTheme="majorHAnsi" w:eastAsia="Arial Unicode MS" w:hAnsiTheme="majorHAnsi" w:cs="Times New Roman"/>
          <w:bCs/>
          <w:shd w:val="clear" w:color="auto" w:fill="FFFFFF"/>
          <w:lang w:val="es-ES" w:eastAsia="en-US"/>
        </w:rPr>
        <w:t>Corte IDH. Caso Mejía Idrovo Vs. Ecuador. Excepciones Preliminares, Fondo, Reparaciones y Costas. Sentencia de 5 de julio de 2011. Serie C No. 228, párr. 104.</w:t>
      </w:r>
    </w:p>
  </w:footnote>
  <w:footnote w:id="72">
    <w:p w14:paraId="45D9A499"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lang w:val="es-ES"/>
        </w:rPr>
        <w:footnoteRef/>
      </w:r>
      <w:r w:rsidRPr="001D04E5">
        <w:rPr>
          <w:rFonts w:asciiTheme="majorHAnsi" w:hAnsiTheme="majorHAnsi"/>
          <w:lang w:val="es-ES"/>
        </w:rPr>
        <w:t xml:space="preserve"> Corte IDH, Caso Acevedo Jaramillo Vs. Per</w:t>
      </w:r>
      <w:r w:rsidRPr="001D04E5">
        <w:rPr>
          <w:rFonts w:asciiTheme="majorHAnsi" w:hAnsiTheme="majorHAnsi"/>
          <w:lang w:val="es-CR"/>
        </w:rPr>
        <w:t>ú</w:t>
      </w:r>
      <w:r w:rsidRPr="001D04E5">
        <w:rPr>
          <w:rFonts w:asciiTheme="majorHAnsi" w:hAnsiTheme="majorHAnsi"/>
          <w:lang w:val="es-ES"/>
        </w:rPr>
        <w:t>, Excepciones Preliminares, Fondo, Reparaciones y Costas. Sentencia de 7 de febrero de 2006, párr. 220.</w:t>
      </w:r>
    </w:p>
  </w:footnote>
  <w:footnote w:id="73">
    <w:p w14:paraId="498C634A"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CIDH, Caso 12.357, Demanda ante la Corte IDH, Integrantes de la Asociación de Cesantes y Jubilados de la Contraloría General de la República, Perú, 1 de abril de 2008, párr. 53.</w:t>
      </w:r>
    </w:p>
  </w:footnote>
  <w:footnote w:id="74">
    <w:p w14:paraId="29C9E254"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w:t>
      </w:r>
      <w:r w:rsidRPr="001D04E5">
        <w:rPr>
          <w:rFonts w:asciiTheme="majorHAnsi" w:eastAsia="Arial Unicode MS" w:hAnsiTheme="majorHAnsi" w:cs="Times New Roman"/>
          <w:bCs/>
          <w:shd w:val="clear" w:color="auto" w:fill="FFFFFF"/>
          <w:lang w:val="es-ES" w:eastAsia="en-US"/>
        </w:rPr>
        <w:t>Corte IDH. Caso Mejía Idrovo Vs. Ecuador. Excepciones Preliminares, Fondo, Reparaciones y Costas. Sentencia de 5 de julio de 2011. Serie C No. 228, párr. 105.</w:t>
      </w:r>
    </w:p>
  </w:footnote>
  <w:footnote w:id="75">
    <w:p w14:paraId="40FC7F31" w14:textId="77777777" w:rsidR="00F5327F" w:rsidRPr="001D04E5" w:rsidRDefault="00F5327F" w:rsidP="00CB4C8A">
      <w:pPr>
        <w:pStyle w:val="FootnoteText"/>
        <w:jc w:val="both"/>
        <w:rPr>
          <w:rFonts w:asciiTheme="majorHAnsi" w:hAnsiTheme="majorHAnsi"/>
          <w:bCs/>
          <w:lang w:val="es-ES"/>
        </w:rPr>
      </w:pPr>
      <w:r w:rsidRPr="001D04E5">
        <w:rPr>
          <w:rStyle w:val="FootnoteReference"/>
          <w:rFonts w:asciiTheme="majorHAnsi" w:hAnsiTheme="majorHAnsi" w:cs="Times"/>
          <w:lang w:val="es-ES"/>
        </w:rPr>
        <w:footnoteRef/>
      </w:r>
      <w:r w:rsidRPr="001D04E5">
        <w:rPr>
          <w:rFonts w:asciiTheme="majorHAnsi" w:hAnsiTheme="majorHAnsi"/>
          <w:lang w:val="es-ES"/>
        </w:rPr>
        <w:t xml:space="preserve"> </w:t>
      </w:r>
      <w:r w:rsidRPr="001D04E5">
        <w:rPr>
          <w:rFonts w:asciiTheme="majorHAnsi" w:eastAsia="Arial Unicode MS" w:hAnsiTheme="majorHAnsi" w:cs="Times New Roman"/>
          <w:bCs/>
          <w:shd w:val="clear" w:color="auto" w:fill="FFFFFF"/>
          <w:lang w:val="es-ES" w:eastAsia="en-US"/>
        </w:rPr>
        <w:t xml:space="preserve">Corte IDH. Caso Mejía Idrovo Vs. Ecuador. Excepciones Preliminares, Fondo, Reparaciones y Costas. Sentencia de 5 de julio de 2011. Serie C No. 228, párr. 106. </w:t>
      </w:r>
    </w:p>
  </w:footnote>
  <w:footnote w:id="76">
    <w:p w14:paraId="31A84A00" w14:textId="77777777" w:rsidR="00F5327F" w:rsidRPr="001D04E5" w:rsidRDefault="00F5327F" w:rsidP="00CB4C8A">
      <w:pPr>
        <w:pStyle w:val="NormalWeb"/>
        <w:spacing w:before="0" w:beforeAutospacing="0" w:after="0" w:afterAutospacing="0"/>
        <w:jc w:val="both"/>
        <w:rPr>
          <w:rFonts w:asciiTheme="majorHAnsi" w:hAnsiTheme="majorHAnsi"/>
        </w:rPr>
      </w:pPr>
      <w:r w:rsidRPr="001D04E5">
        <w:rPr>
          <w:rStyle w:val="FootnoteReference"/>
          <w:rFonts w:asciiTheme="majorHAnsi" w:hAnsiTheme="majorHAnsi"/>
        </w:rPr>
        <w:footnoteRef/>
      </w:r>
      <w:r w:rsidRPr="001D04E5">
        <w:rPr>
          <w:rFonts w:asciiTheme="majorHAnsi" w:hAnsiTheme="majorHAnsi"/>
        </w:rPr>
        <w:t xml:space="preserve"> Corte Europea de Derechos Humanos (CEDH), Caso Matheus versus Francia, n° 62740/01, Sentencia del 31.03.2005, párr. 58; y CEDH, Caso Sabin Popescu versus Romania, n° 48102/99, Sentencia del 2.03.2004, párrs. 68 y ss. </w:t>
      </w:r>
    </w:p>
  </w:footnote>
  <w:footnote w:id="77">
    <w:p w14:paraId="202BBB9E"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CEDH, Caso Cocchiarella Vs. Italia. Sentencia de 29 de marzo de 2006, párr. 89.</w:t>
      </w:r>
    </w:p>
  </w:footnote>
  <w:footnote w:id="78">
    <w:p w14:paraId="48C9592A"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cs="Times"/>
          <w:lang w:val="es-ES"/>
        </w:rPr>
        <w:footnoteRef/>
      </w:r>
      <w:r w:rsidRPr="001D04E5">
        <w:rPr>
          <w:rFonts w:asciiTheme="majorHAnsi" w:hAnsiTheme="majorHAnsi"/>
          <w:lang w:val="es-ES"/>
        </w:rPr>
        <w:t xml:space="preserve"> CEDH, </w:t>
      </w:r>
      <w:r w:rsidRPr="001D04E5">
        <w:rPr>
          <w:rFonts w:asciiTheme="majorHAnsi" w:hAnsiTheme="majorHAnsi"/>
          <w:iCs/>
          <w:lang w:val="es-ES"/>
        </w:rPr>
        <w:t>Matheus Vs. Francia</w:t>
      </w:r>
      <w:r w:rsidRPr="001D04E5">
        <w:rPr>
          <w:rFonts w:asciiTheme="majorHAnsi" w:hAnsiTheme="majorHAnsi"/>
          <w:lang w:val="es-ES"/>
        </w:rPr>
        <w:t xml:space="preserve">. Sentencia de 31 de junio de 2005, </w:t>
      </w:r>
      <w:r w:rsidRPr="001D04E5">
        <w:rPr>
          <w:rFonts w:asciiTheme="majorHAnsi" w:hAnsiTheme="majorHAnsi"/>
          <w:iCs/>
          <w:lang w:val="es-ES"/>
        </w:rPr>
        <w:t>párr. 58</w:t>
      </w:r>
      <w:r w:rsidRPr="001D04E5">
        <w:rPr>
          <w:rFonts w:asciiTheme="majorHAnsi" w:hAnsiTheme="majorHAnsi"/>
          <w:lang w:val="es-ES"/>
        </w:rPr>
        <w:t>.</w:t>
      </w:r>
    </w:p>
  </w:footnote>
  <w:footnote w:id="79">
    <w:p w14:paraId="6F6E8602"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cs="Times"/>
          <w:lang w:val="es-ES"/>
        </w:rPr>
        <w:footnoteRef/>
      </w:r>
      <w:r w:rsidRPr="001D04E5">
        <w:rPr>
          <w:rFonts w:asciiTheme="majorHAnsi" w:hAnsiTheme="majorHAnsi"/>
          <w:lang w:val="es-ES"/>
        </w:rPr>
        <w:t xml:space="preserve"> </w:t>
      </w:r>
      <w:r w:rsidRPr="001D04E5">
        <w:rPr>
          <w:rFonts w:asciiTheme="majorHAnsi" w:eastAsia="Arial Unicode MS" w:hAnsiTheme="majorHAnsi" w:cs="Times New Roman"/>
          <w:bCs/>
          <w:shd w:val="clear" w:color="auto" w:fill="FFFFFF"/>
          <w:lang w:val="es-ES" w:eastAsia="en-US"/>
        </w:rPr>
        <w:t>Corte IDH. Caso Mejía Idrovo Vs. Ecuador. Excepciones Preliminares, Fondo, Reparaciones y Costas. Sentencia de 5 de julio de 2011. Serie C No. 228, párr. 106.</w:t>
      </w:r>
    </w:p>
  </w:footnote>
  <w:footnote w:id="80">
    <w:p w14:paraId="7E17EE30"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CIDH, Caso 12.357, Demanda ante la Corte IDH, Integrantes de la Asociación de Cesantes y Jubilados de la Contraloría General de la República, Perú, 1 de abril de 2008, párr. 54.</w:t>
      </w:r>
    </w:p>
  </w:footnote>
  <w:footnote w:id="81">
    <w:p w14:paraId="7719A431"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Escrito de fondo del Estado, pág. 15. </w:t>
      </w:r>
    </w:p>
  </w:footnote>
  <w:footnote w:id="82">
    <w:p w14:paraId="2DBCD646" w14:textId="77777777" w:rsidR="00F5327F" w:rsidRPr="001D04E5" w:rsidRDefault="00F5327F" w:rsidP="00CB4C8A">
      <w:pPr>
        <w:pStyle w:val="FootnoteText"/>
        <w:jc w:val="both"/>
        <w:rPr>
          <w:rFonts w:asciiTheme="majorHAnsi" w:hAnsiTheme="majorHAnsi"/>
          <w:lang w:val="es-US"/>
        </w:rPr>
      </w:pPr>
      <w:r w:rsidRPr="001D04E5">
        <w:rPr>
          <w:rStyle w:val="FootnoteReference"/>
          <w:rFonts w:asciiTheme="majorHAnsi" w:hAnsiTheme="majorHAnsi"/>
        </w:rPr>
        <w:footnoteRef/>
      </w:r>
      <w:r w:rsidRPr="001D04E5">
        <w:rPr>
          <w:rFonts w:asciiTheme="majorHAnsi" w:hAnsiTheme="majorHAnsi"/>
          <w:lang w:val="es-US"/>
        </w:rPr>
        <w:t xml:space="preserve"> Escrito de fondo del Estado, pág. 14.</w:t>
      </w:r>
    </w:p>
  </w:footnote>
  <w:footnote w:id="83">
    <w:p w14:paraId="4075199D"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cs="Arial"/>
          <w:lang w:val="es-ES"/>
        </w:rPr>
        <w:t xml:space="preserve"> </w:t>
      </w:r>
      <w:r w:rsidRPr="001D04E5">
        <w:rPr>
          <w:rFonts w:asciiTheme="majorHAnsi" w:hAnsiTheme="majorHAnsi"/>
          <w:lang w:val="es-ES_tradnl"/>
        </w:rPr>
        <w:t>Corte IDH. Caso García Asto y Ramírez Rojas Vs. Perú. Sentencia de 25 de noviembre de 2005. Serie C No. 137</w:t>
      </w:r>
      <w:r w:rsidRPr="001D04E5">
        <w:rPr>
          <w:rFonts w:asciiTheme="majorHAnsi" w:hAnsiTheme="majorHAnsi" w:cs="Arial"/>
          <w:iCs/>
          <w:lang w:val="es-ES"/>
        </w:rPr>
        <w:t xml:space="preserve">, párr. 166; </w:t>
      </w:r>
      <w:r w:rsidRPr="001D04E5">
        <w:rPr>
          <w:rFonts w:asciiTheme="majorHAnsi" w:hAnsiTheme="majorHAnsi"/>
          <w:lang w:val="es-ES_tradnl"/>
        </w:rPr>
        <w:t xml:space="preserve">Caso Gómez Palomino Vs. Perú. </w:t>
      </w:r>
      <w:hyperlink r:id="rId2" w:history="1">
        <w:r w:rsidRPr="001D04E5">
          <w:rPr>
            <w:rStyle w:val="Hyperlink"/>
            <w:rFonts w:asciiTheme="majorHAnsi" w:hAnsiTheme="majorHAnsi" w:cs="Arial"/>
            <w:color w:val="auto"/>
            <w:u w:val="none"/>
            <w:shd w:val="clear" w:color="auto" w:fill="FFFFFF"/>
            <w:lang w:val="es-ES"/>
          </w:rPr>
          <w:t>Fondo, Reparaciones y Costas. Sentencia de 22 de noviembre de 2005. Serie C No. 136</w:t>
        </w:r>
      </w:hyperlink>
      <w:r w:rsidRPr="001D04E5">
        <w:rPr>
          <w:rFonts w:asciiTheme="majorHAnsi" w:hAnsiTheme="majorHAnsi"/>
          <w:lang w:val="es-ES_tradnl"/>
        </w:rPr>
        <w:t xml:space="preserve">, párr. </w:t>
      </w:r>
      <w:r w:rsidRPr="001D04E5">
        <w:rPr>
          <w:rFonts w:asciiTheme="majorHAnsi" w:hAnsiTheme="majorHAnsi" w:cs="Arial"/>
          <w:lang w:val="es-ES"/>
        </w:rPr>
        <w:t xml:space="preserve">85; y </w:t>
      </w:r>
      <w:r w:rsidRPr="001D04E5">
        <w:rPr>
          <w:rFonts w:asciiTheme="majorHAnsi" w:hAnsiTheme="majorHAnsi"/>
          <w:lang w:val="es-ES"/>
        </w:rPr>
        <w:t>Caso de la Comunidad Moiwana Vs. Surinam. Sentencia de 15 de junio de 2005. Serie C No. 124</w:t>
      </w:r>
      <w:r w:rsidRPr="001D04E5">
        <w:rPr>
          <w:rFonts w:asciiTheme="majorHAnsi" w:hAnsiTheme="majorHAnsi" w:cs="Arial"/>
          <w:lang w:val="es-ES"/>
        </w:rPr>
        <w:t>, párr. 160.</w:t>
      </w:r>
    </w:p>
  </w:footnote>
  <w:footnote w:id="84">
    <w:p w14:paraId="6764823C"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CEDH, Hornsby Vs. </w:t>
      </w:r>
      <w:r w:rsidRPr="001D04E5">
        <w:rPr>
          <w:rFonts w:asciiTheme="majorHAnsi" w:hAnsiTheme="majorHAnsi"/>
          <w:iCs/>
          <w:lang w:val="es-ES"/>
        </w:rPr>
        <w:t xml:space="preserve">Grecia. </w:t>
      </w:r>
      <w:r w:rsidRPr="001D04E5">
        <w:rPr>
          <w:rFonts w:asciiTheme="majorHAnsi" w:hAnsiTheme="majorHAnsi"/>
          <w:lang w:val="es-ES"/>
        </w:rPr>
        <w:t xml:space="preserve">Sentencia de 19 de marzo de 1997, párr. 40. </w:t>
      </w:r>
    </w:p>
  </w:footnote>
  <w:footnote w:id="85">
    <w:p w14:paraId="15E52EB6" w14:textId="77777777" w:rsidR="00F5327F" w:rsidRPr="001D04E5" w:rsidRDefault="00F5327F" w:rsidP="00CB4C8A">
      <w:pPr>
        <w:pStyle w:val="FootnoteText"/>
        <w:jc w:val="both"/>
        <w:rPr>
          <w:rFonts w:asciiTheme="majorHAnsi" w:hAnsiTheme="majorHAnsi"/>
          <w:lang w:val="es-ES"/>
        </w:rPr>
      </w:pPr>
      <w:r w:rsidRPr="001D04E5">
        <w:rPr>
          <w:rStyle w:val="FootnoteReference"/>
          <w:rFonts w:asciiTheme="majorHAnsi" w:hAnsiTheme="majorHAnsi"/>
        </w:rPr>
        <w:footnoteRef/>
      </w:r>
      <w:r w:rsidRPr="001D04E5">
        <w:rPr>
          <w:rFonts w:asciiTheme="majorHAnsi" w:hAnsiTheme="majorHAnsi"/>
          <w:lang w:val="es-ES"/>
        </w:rPr>
        <w:t xml:space="preserve"> CEDH, Di Pede Vs. </w:t>
      </w:r>
      <w:r w:rsidRPr="001D04E5">
        <w:rPr>
          <w:rFonts w:asciiTheme="majorHAnsi" w:hAnsiTheme="majorHAnsi"/>
          <w:iCs/>
          <w:lang w:val="es-ES"/>
        </w:rPr>
        <w:t>Italia. Sentencia de 26 de septiembre de 1996, párr. 16.</w:t>
      </w:r>
    </w:p>
  </w:footnote>
  <w:footnote w:id="86">
    <w:p w14:paraId="143DB9B6" w14:textId="77777777" w:rsidR="00F5327F" w:rsidRPr="001D04E5" w:rsidRDefault="00F5327F" w:rsidP="00CB4C8A">
      <w:pPr>
        <w:pStyle w:val="FootnoteText"/>
        <w:jc w:val="both"/>
        <w:rPr>
          <w:rFonts w:asciiTheme="majorHAnsi" w:hAnsiTheme="majorHAnsi"/>
          <w:lang w:val="es-ES_tradnl"/>
        </w:rPr>
      </w:pPr>
      <w:r w:rsidRPr="001D04E5">
        <w:rPr>
          <w:rStyle w:val="FootnoteReference"/>
          <w:rFonts w:asciiTheme="majorHAnsi" w:hAnsiTheme="majorHAnsi"/>
        </w:rPr>
        <w:footnoteRef/>
      </w:r>
      <w:r w:rsidRPr="001D04E5">
        <w:rPr>
          <w:rFonts w:asciiTheme="majorHAnsi" w:hAnsiTheme="majorHAnsi" w:cs="Arial"/>
          <w:lang w:val="es-ES"/>
        </w:rPr>
        <w:t xml:space="preserve"> Corte IDH. </w:t>
      </w:r>
      <w:r w:rsidRPr="001D04E5">
        <w:rPr>
          <w:rFonts w:asciiTheme="majorHAnsi" w:hAnsiTheme="majorHAnsi" w:cs="Arial"/>
          <w:shd w:val="clear" w:color="auto" w:fill="FFFFFF"/>
          <w:lang w:val="es-ES"/>
        </w:rPr>
        <w:t xml:space="preserve">Caso Masacre de Santo Domingo Vs. </w:t>
      </w:r>
      <w:r w:rsidRPr="001D04E5">
        <w:rPr>
          <w:rFonts w:asciiTheme="majorHAnsi" w:hAnsiTheme="majorHAnsi" w:cs="Arial"/>
          <w:shd w:val="clear" w:color="auto" w:fill="FFFFFF"/>
          <w:lang w:val="es-ES_tradnl"/>
        </w:rPr>
        <w:t>Colombia. Excepciones Preliminares, Fondo y Reparaciones. Sentencia de 30 de noviembre de 2012. Serie C No. 259,</w:t>
      </w:r>
      <w:r w:rsidRPr="001D04E5">
        <w:rPr>
          <w:rFonts w:asciiTheme="majorHAnsi" w:hAnsiTheme="majorHAnsi" w:cs="Arial"/>
          <w:lang w:val="es-ES_tradnl"/>
        </w:rPr>
        <w:t xml:space="preserve"> párr. </w:t>
      </w:r>
      <w:r w:rsidRPr="001D04E5">
        <w:rPr>
          <w:rFonts w:asciiTheme="majorHAnsi" w:hAnsiTheme="majorHAnsi" w:cs="Arial"/>
          <w:lang w:val="es-ES"/>
        </w:rPr>
        <w:t>164.</w:t>
      </w:r>
    </w:p>
  </w:footnote>
  <w:footnote w:id="87">
    <w:p w14:paraId="1F0A3A6F" w14:textId="77777777" w:rsidR="00F5327F" w:rsidRPr="001D04E5" w:rsidRDefault="00F5327F" w:rsidP="00CB4C8A">
      <w:pPr>
        <w:pStyle w:val="FootnoteText"/>
        <w:jc w:val="both"/>
        <w:rPr>
          <w:rFonts w:ascii="Cambria" w:hAnsi="Cambria"/>
          <w:lang w:val="es-ES_tradnl"/>
        </w:rPr>
      </w:pPr>
      <w:r w:rsidRPr="001D04E5">
        <w:rPr>
          <w:rStyle w:val="FootnoteReference"/>
          <w:rFonts w:ascii="Cambria" w:hAnsi="Cambria"/>
        </w:rPr>
        <w:footnoteRef/>
      </w:r>
      <w:r w:rsidRPr="001D04E5">
        <w:rPr>
          <w:rFonts w:ascii="Cambria" w:hAnsi="Cambria"/>
          <w:lang w:val="es-ES"/>
        </w:rPr>
        <w:t xml:space="preserve"> CIDH, Caso 12.357, Demanda ante la Corte IDH, Integrantes de la Asociación de Cesantes y Jubilados de la Contraloría General de la República, Perú, 1 de abril de 2008, párr. 72. </w:t>
      </w:r>
      <w:r w:rsidRPr="001D04E5">
        <w:rPr>
          <w:rFonts w:ascii="Cambria" w:hAnsi="Cambria"/>
          <w:lang w:val="es-ES_tradnl"/>
        </w:rPr>
        <w:t>Corte IDH. Caso Chaparro Álvarez y Lapo Íñiguez Vs. Ecuador. Excepciones Preliminares, Fondo, Reparaciones y Costas. Sentencia de 21 de noviembre de 2007. Serie C No. 170, párr. 174.</w:t>
      </w:r>
    </w:p>
  </w:footnote>
  <w:footnote w:id="88">
    <w:p w14:paraId="66707A75" w14:textId="77777777" w:rsidR="00F5327F" w:rsidRPr="001D04E5" w:rsidRDefault="00F5327F" w:rsidP="00CB4C8A">
      <w:pPr>
        <w:jc w:val="both"/>
        <w:rPr>
          <w:rFonts w:ascii="Cambria" w:eastAsia="Times New Roman" w:hAnsi="Cambria"/>
        </w:rPr>
      </w:pPr>
      <w:r w:rsidRPr="001D04E5">
        <w:rPr>
          <w:rStyle w:val="FootnoteReference"/>
          <w:rFonts w:ascii="Cambria" w:hAnsi="Cambria"/>
        </w:rPr>
        <w:footnoteRef/>
      </w:r>
      <w:r w:rsidRPr="001D04E5">
        <w:rPr>
          <w:rFonts w:ascii="Cambria" w:hAnsi="Cambria"/>
        </w:rPr>
        <w:t xml:space="preserve"> </w:t>
      </w:r>
      <w:r w:rsidRPr="001D04E5">
        <w:rPr>
          <w:rFonts w:ascii="Cambria" w:eastAsia="Times New Roman" w:hAnsi="Cambria"/>
          <w:bCs/>
          <w:shd w:val="clear" w:color="auto" w:fill="FFFFFF"/>
        </w:rPr>
        <w:t>Corte IDH. Caso "Cinco Pensionistas" Vs. Perú. Fondo, Reparaciones y Costas. Sentencia de 28 de febrero de 2003. Serie C No. 98, párr. 102.</w:t>
      </w:r>
    </w:p>
  </w:footnote>
  <w:footnote w:id="89">
    <w:p w14:paraId="0416B4F2" w14:textId="77777777" w:rsidR="00F5327F" w:rsidRPr="001D04E5" w:rsidRDefault="00F5327F" w:rsidP="00CB4C8A">
      <w:pPr>
        <w:jc w:val="both"/>
        <w:rPr>
          <w:rFonts w:ascii="Cambria" w:eastAsia="Times New Roman" w:hAnsi="Cambria"/>
        </w:rPr>
      </w:pPr>
      <w:r w:rsidRPr="001D04E5">
        <w:rPr>
          <w:rStyle w:val="FootnoteReference"/>
          <w:rFonts w:ascii="Cambria" w:hAnsi="Cambria"/>
        </w:rPr>
        <w:footnoteRef/>
      </w:r>
      <w:r w:rsidRPr="001D04E5">
        <w:rPr>
          <w:rFonts w:ascii="Cambria" w:hAnsi="Cambria"/>
        </w:rPr>
        <w:t xml:space="preserve"> </w:t>
      </w:r>
      <w:r w:rsidRPr="001D04E5">
        <w:rPr>
          <w:rFonts w:ascii="Cambria" w:eastAsia="Times New Roman" w:hAnsi="Cambria"/>
          <w:bCs/>
          <w:shd w:val="clear" w:color="auto" w:fill="FFFFFF"/>
        </w:rPr>
        <w:t>Corte IDH. Caso Salvador Chiriboga Vs. Ecuador. Excepción Preliminar y Fondo. Sentencia de 6 de mayo de 2008. Serie C No. 179, párr. 54.</w:t>
      </w:r>
    </w:p>
  </w:footnote>
  <w:footnote w:id="90">
    <w:p w14:paraId="7628649A" w14:textId="77777777" w:rsidR="00F5327F" w:rsidRPr="001D04E5" w:rsidRDefault="00F5327F" w:rsidP="00CB4C8A">
      <w:pPr>
        <w:jc w:val="both"/>
        <w:rPr>
          <w:rFonts w:ascii="Cambria" w:eastAsia="Times New Roman" w:hAnsi="Cambria"/>
        </w:rPr>
      </w:pPr>
      <w:r w:rsidRPr="001D04E5">
        <w:rPr>
          <w:rStyle w:val="FootnoteReference"/>
          <w:rFonts w:ascii="Cambria" w:hAnsi="Cambria"/>
        </w:rPr>
        <w:footnoteRef/>
      </w:r>
      <w:r w:rsidRPr="001D04E5">
        <w:rPr>
          <w:rFonts w:ascii="Cambria" w:hAnsi="Cambria"/>
        </w:rPr>
        <w:t xml:space="preserve"> </w:t>
      </w:r>
      <w:r w:rsidRPr="001D04E5">
        <w:rPr>
          <w:rFonts w:ascii="Cambria" w:eastAsia="Times New Roman" w:hAnsi="Cambria"/>
          <w:bCs/>
          <w:shd w:val="clear" w:color="auto" w:fill="FFFFFF"/>
        </w:rPr>
        <w:t>Corte IDH. Caso "Cinco Pensionistas" Vs. Perú. Fondo, Reparaciones y Costas. Sentencia de 28 de febrero de 2003. Serie C No. 98, párr. 103.</w:t>
      </w:r>
      <w:r w:rsidRPr="001D04E5">
        <w:rPr>
          <w:rFonts w:ascii="Cambria" w:eastAsia="Times New Roman" w:hAnsi="Cambria"/>
          <w:b/>
          <w:bCs/>
          <w:shd w:val="clear" w:color="auto" w:fill="FFFFFF"/>
        </w:rPr>
        <w:t xml:space="preserve"> </w:t>
      </w:r>
    </w:p>
  </w:footnote>
  <w:footnote w:id="91">
    <w:p w14:paraId="06A86D19" w14:textId="77777777" w:rsidR="00F5327F" w:rsidRPr="001D04E5" w:rsidRDefault="00F5327F" w:rsidP="00CB4C8A">
      <w:pPr>
        <w:jc w:val="both"/>
        <w:rPr>
          <w:rFonts w:ascii="Cambria" w:eastAsia="Times New Roman" w:hAnsi="Cambria"/>
        </w:rPr>
      </w:pPr>
      <w:r w:rsidRPr="001D04E5">
        <w:rPr>
          <w:rStyle w:val="FootnoteReference"/>
          <w:rFonts w:ascii="Cambria" w:hAnsi="Cambria"/>
        </w:rPr>
        <w:footnoteRef/>
      </w:r>
      <w:r w:rsidRPr="001D04E5">
        <w:rPr>
          <w:rFonts w:ascii="Cambria" w:hAnsi="Cambria"/>
        </w:rPr>
        <w:t xml:space="preserve"> </w:t>
      </w:r>
      <w:r w:rsidRPr="001D04E5">
        <w:rPr>
          <w:rFonts w:ascii="Cambria" w:eastAsia="Times New Roman" w:hAnsi="Cambria"/>
          <w:bCs/>
          <w:shd w:val="clear" w:color="auto" w:fill="FFFFFF"/>
        </w:rPr>
        <w:t>Corte IDH. Caso "Cinco Pensionistas" Vs. Perú. Fondo, Reparaciones y Costas. Sentencia de 28 de febrero de 2003. Serie C No. 98, párrs. 115 y 121.</w:t>
      </w:r>
      <w:r w:rsidRPr="001D04E5">
        <w:rPr>
          <w:rFonts w:ascii="Cambria" w:eastAsia="Times New Roman" w:hAnsi="Cambria"/>
          <w:b/>
          <w:bCs/>
          <w:shd w:val="clear" w:color="auto" w:fill="FFFFFF"/>
        </w:rPr>
        <w:t xml:space="preserve"> </w:t>
      </w:r>
    </w:p>
  </w:footnote>
  <w:footnote w:id="92">
    <w:p w14:paraId="066E0305" w14:textId="77777777" w:rsidR="00F5327F" w:rsidRPr="001D04E5" w:rsidRDefault="00F5327F" w:rsidP="00CB4C8A">
      <w:pPr>
        <w:pStyle w:val="FootnoteText"/>
        <w:jc w:val="both"/>
        <w:rPr>
          <w:rFonts w:ascii="Cambria" w:hAnsi="Cambria"/>
          <w:lang w:val="es-ES_tradnl"/>
        </w:rPr>
      </w:pPr>
      <w:r w:rsidRPr="001D04E5">
        <w:rPr>
          <w:rStyle w:val="FootnoteReference"/>
          <w:rFonts w:ascii="Cambria" w:hAnsi="Cambria"/>
        </w:rPr>
        <w:footnoteRef/>
      </w:r>
      <w:r w:rsidRPr="001D04E5">
        <w:rPr>
          <w:rFonts w:ascii="Cambria" w:hAnsi="Cambria"/>
          <w:lang w:val="es-ES"/>
        </w:rPr>
        <w:t xml:space="preserve"> </w:t>
      </w:r>
      <w:r w:rsidRPr="001D04E5">
        <w:rPr>
          <w:rFonts w:ascii="Cambria" w:hAnsi="Cambria"/>
          <w:lang w:val="es-ES_tradnl"/>
        </w:rPr>
        <w:t xml:space="preserve">Corte IDH. </w:t>
      </w:r>
      <w:r w:rsidRPr="001D04E5">
        <w:rPr>
          <w:rFonts w:ascii="Cambria" w:eastAsia="Arial Unicode MS" w:hAnsi="Cambria" w:cs="Times New Roman"/>
          <w:bCs/>
          <w:shd w:val="clear" w:color="auto" w:fill="FFFFFF"/>
          <w:lang w:val="es-ES" w:eastAsia="en-US"/>
        </w:rPr>
        <w:t xml:space="preserve">Caso Acevedo Buendía y otros (“Cesantes y Jubilados de la Contraloría”) Vs. Perú. Excepción Preliminar, Fondo, Reparaciones y Costas. Sentencia de 1 de julio de 2009. Serie C No. 198, párr. 88. </w:t>
      </w:r>
    </w:p>
  </w:footnote>
  <w:footnote w:id="93">
    <w:p w14:paraId="45768D5D" w14:textId="77777777" w:rsidR="00F5327F" w:rsidRPr="001D04E5" w:rsidRDefault="00F5327F" w:rsidP="00CB4C8A">
      <w:pPr>
        <w:pStyle w:val="FootnoteText"/>
        <w:jc w:val="both"/>
        <w:rPr>
          <w:rFonts w:ascii="Cambria" w:hAnsi="Cambria"/>
          <w:lang w:val="es-ES_tradnl"/>
        </w:rPr>
      </w:pPr>
      <w:r w:rsidRPr="001D04E5">
        <w:rPr>
          <w:rStyle w:val="FootnoteReference"/>
          <w:rFonts w:ascii="Cambria" w:hAnsi="Cambria"/>
        </w:rPr>
        <w:footnoteRef/>
      </w:r>
      <w:r w:rsidRPr="001D04E5">
        <w:rPr>
          <w:rFonts w:ascii="Cambria" w:hAnsi="Cambria"/>
          <w:lang w:val="es-ES"/>
        </w:rPr>
        <w:t xml:space="preserve"> </w:t>
      </w:r>
      <w:r w:rsidRPr="001D04E5">
        <w:rPr>
          <w:rFonts w:ascii="Cambria" w:hAnsi="Cambria"/>
          <w:lang w:val="es-ES_tradnl"/>
        </w:rPr>
        <w:t xml:space="preserve">Corte IDH. </w:t>
      </w:r>
      <w:r w:rsidRPr="001D04E5">
        <w:rPr>
          <w:rFonts w:ascii="Cambria" w:eastAsia="Arial Unicode MS" w:hAnsi="Cambria" w:cs="Times New Roman"/>
          <w:bCs/>
          <w:shd w:val="clear" w:color="auto" w:fill="FFFFFF"/>
          <w:lang w:val="es-ES" w:eastAsia="en-US"/>
        </w:rPr>
        <w:t xml:space="preserve">Caso Acevedo Buendía y otros (“Cesantes y Jubilados de la Contraloría”) Vs. Perú. Excepción Preliminar, Fondo, Reparaciones y Costas. Sentencia de 1 de julio de 2009. Serie C No. 198, párr. 88.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E8287" w14:textId="77777777" w:rsidR="00F5327F" w:rsidRDefault="00F5327F" w:rsidP="00C7291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CC2740C" w14:textId="77777777" w:rsidR="00F5327F" w:rsidRDefault="00F53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F5FF6" w14:textId="77777777" w:rsidR="00F5327F" w:rsidRDefault="00F5327F" w:rsidP="00A50FCF">
    <w:pPr>
      <w:pStyle w:val="Header"/>
      <w:tabs>
        <w:tab w:val="clear" w:pos="4320"/>
        <w:tab w:val="clear" w:pos="8640"/>
      </w:tabs>
      <w:jc w:val="center"/>
      <w:rPr>
        <w:sz w:val="22"/>
        <w:szCs w:val="22"/>
      </w:rPr>
    </w:pPr>
    <w:r>
      <w:rPr>
        <w:noProof/>
        <w:sz w:val="22"/>
        <w:szCs w:val="22"/>
        <w:lang w:val="en-US" w:eastAsia="en-US"/>
      </w:rPr>
      <w:drawing>
        <wp:inline distT="0" distB="0" distL="0" distR="0" wp14:anchorId="24F58A79" wp14:editId="7ACE095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201247A" w14:textId="77777777" w:rsidR="00F5327F" w:rsidRPr="00EC7D62" w:rsidRDefault="00CE0A45" w:rsidP="00A50FCF">
    <w:pPr>
      <w:pStyle w:val="Header"/>
      <w:tabs>
        <w:tab w:val="clear" w:pos="4320"/>
        <w:tab w:val="clear" w:pos="8640"/>
      </w:tabs>
      <w:jc w:val="center"/>
      <w:rPr>
        <w:sz w:val="22"/>
        <w:szCs w:val="22"/>
      </w:rPr>
    </w:pPr>
    <w:r>
      <w:rPr>
        <w:sz w:val="22"/>
        <w:szCs w:val="22"/>
      </w:rPr>
      <w:pict w14:anchorId="4D49301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3AE"/>
    <w:multiLevelType w:val="hybridMultilevel"/>
    <w:tmpl w:val="55EA7DB0"/>
    <w:lvl w:ilvl="0" w:tplc="2EE0C8F6">
      <w:start w:val="1"/>
      <w:numFmt w:val="decimal"/>
      <w:pStyle w:val="Heading3"/>
      <w:lvlText w:val="%1."/>
      <w:lvlJc w:val="left"/>
      <w:pPr>
        <w:ind w:left="720" w:hanging="360"/>
      </w:pPr>
      <w:rPr>
        <w:rFonts w:hint="default"/>
        <w:lang w:val="es-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1B68F9"/>
    <w:multiLevelType w:val="hybridMultilevel"/>
    <w:tmpl w:val="A20402FA"/>
    <w:lvl w:ilvl="0" w:tplc="99ACBFE6">
      <w:start w:val="1"/>
      <w:numFmt w:val="upperLetter"/>
      <w:lvlText w:val="%1."/>
      <w:lvlJc w:val="left"/>
      <w:pPr>
        <w:ind w:left="990" w:hanging="360"/>
      </w:pPr>
      <w:rPr>
        <w:rFonts w:hint="default"/>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9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2A0BA1"/>
    <w:multiLevelType w:val="hybridMultilevel"/>
    <w:tmpl w:val="1804D54A"/>
    <w:lvl w:ilvl="0" w:tplc="0C60FB92">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BD03E6"/>
    <w:multiLevelType w:val="hybridMultilevel"/>
    <w:tmpl w:val="4CA83BF0"/>
    <w:lvl w:ilvl="0" w:tplc="58B8D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9B302D8"/>
    <w:multiLevelType w:val="hybridMultilevel"/>
    <w:tmpl w:val="A20402FA"/>
    <w:lvl w:ilvl="0" w:tplc="99ACBFE6">
      <w:start w:val="1"/>
      <w:numFmt w:val="upperLetter"/>
      <w:lvlText w:val="%1."/>
      <w:lvlJc w:val="left"/>
      <w:pPr>
        <w:ind w:left="1440" w:hanging="360"/>
      </w:pPr>
      <w:rPr>
        <w:rFonts w:hint="default"/>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9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7D4B9D"/>
    <w:multiLevelType w:val="hybridMultilevel"/>
    <w:tmpl w:val="75ACB174"/>
    <w:lvl w:ilvl="0" w:tplc="3528D052">
      <w:start w:val="1"/>
      <w:numFmt w:val="decimal"/>
      <w:lvlText w:val="%1."/>
      <w:lvlJc w:val="left"/>
      <w:pPr>
        <w:ind w:left="360" w:hanging="360"/>
      </w:pPr>
      <w:rPr>
        <w:rFonts w:ascii="Cambria" w:hAnsi="Cambria" w:hint="default"/>
        <w:b w:val="0"/>
        <w:color w:val="auto"/>
        <w:sz w:val="20"/>
        <w:szCs w:val="20"/>
        <w:lang w:val="es-ES"/>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1"/>
  </w:num>
  <w:num w:numId="5">
    <w:abstractNumId w:val="48"/>
  </w:num>
  <w:num w:numId="6">
    <w:abstractNumId w:val="27"/>
  </w:num>
  <w:num w:numId="7">
    <w:abstractNumId w:val="6"/>
  </w:num>
  <w:num w:numId="8">
    <w:abstractNumId w:val="17"/>
  </w:num>
  <w:num w:numId="9">
    <w:abstractNumId w:val="42"/>
  </w:num>
  <w:num w:numId="10">
    <w:abstractNumId w:val="1"/>
  </w:num>
  <w:num w:numId="11">
    <w:abstractNumId w:val="37"/>
  </w:num>
  <w:num w:numId="12">
    <w:abstractNumId w:val="38"/>
  </w:num>
  <w:num w:numId="13">
    <w:abstractNumId w:val="44"/>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39"/>
  </w:num>
  <w:num w:numId="40">
    <w:abstractNumId w:val="40"/>
  </w:num>
  <w:num w:numId="41">
    <w:abstractNumId w:val="47"/>
  </w:num>
  <w:num w:numId="42">
    <w:abstractNumId w:val="49"/>
  </w:num>
  <w:num w:numId="43">
    <w:abstractNumId w:val="50"/>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41"/>
  </w:num>
  <w:num w:numId="53">
    <w:abstractNumId w:val="45"/>
  </w:num>
  <w:num w:numId="54">
    <w:abstractNumId w:val="25"/>
  </w:num>
  <w:num w:numId="55">
    <w:abstractNumId w:val="16"/>
  </w:num>
  <w:num w:numId="56">
    <w:abstractNumId w:val="46"/>
  </w:num>
  <w:num w:numId="57">
    <w:abstractNumId w:val="34"/>
  </w:num>
  <w:num w:numId="58">
    <w:abstractNumId w:val="16"/>
    <w:lvlOverride w:ilvl="0">
      <w:startOverride w:val="1"/>
    </w:lvlOverride>
  </w:num>
  <w:num w:numId="59">
    <w:abstractNumId w:val="0"/>
  </w:num>
  <w:num w:numId="60">
    <w:abstractNumId w:val="43"/>
  </w:num>
  <w:num w:numId="61">
    <w:abstractNumId w:val="0"/>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defaultTabStop w:val="720"/>
  <w:hyphenationZone w:val="425"/>
  <w:characterSpacingControl w:val="doNotCompress"/>
  <w:hdrShapeDefaults>
    <o:shapedefaults v:ext="edit" spidmax="921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6C1"/>
    <w:rsid w:val="00003E62"/>
    <w:rsid w:val="000066E5"/>
    <w:rsid w:val="00006896"/>
    <w:rsid w:val="00006E1F"/>
    <w:rsid w:val="000070D7"/>
    <w:rsid w:val="000156FF"/>
    <w:rsid w:val="000158FD"/>
    <w:rsid w:val="0001788C"/>
    <w:rsid w:val="00024EB0"/>
    <w:rsid w:val="00025B37"/>
    <w:rsid w:val="000329F1"/>
    <w:rsid w:val="0004071C"/>
    <w:rsid w:val="00040C3A"/>
    <w:rsid w:val="00045156"/>
    <w:rsid w:val="00063EE3"/>
    <w:rsid w:val="000642CD"/>
    <w:rsid w:val="000654B4"/>
    <w:rsid w:val="00067A5D"/>
    <w:rsid w:val="000716C5"/>
    <w:rsid w:val="00075E23"/>
    <w:rsid w:val="00080F30"/>
    <w:rsid w:val="00081A3F"/>
    <w:rsid w:val="00083D44"/>
    <w:rsid w:val="0008768F"/>
    <w:rsid w:val="0009344A"/>
    <w:rsid w:val="00093BB0"/>
    <w:rsid w:val="000955A6"/>
    <w:rsid w:val="000A392E"/>
    <w:rsid w:val="000A575F"/>
    <w:rsid w:val="000A576A"/>
    <w:rsid w:val="000B3D05"/>
    <w:rsid w:val="000B60B3"/>
    <w:rsid w:val="000B7280"/>
    <w:rsid w:val="000B7EC6"/>
    <w:rsid w:val="000C7227"/>
    <w:rsid w:val="000C7FBF"/>
    <w:rsid w:val="000D10DB"/>
    <w:rsid w:val="000D2542"/>
    <w:rsid w:val="000D4188"/>
    <w:rsid w:val="000D74C1"/>
    <w:rsid w:val="000E3F45"/>
    <w:rsid w:val="000E5EB5"/>
    <w:rsid w:val="000F35ED"/>
    <w:rsid w:val="000F446C"/>
    <w:rsid w:val="000F521D"/>
    <w:rsid w:val="000F62F6"/>
    <w:rsid w:val="0010067E"/>
    <w:rsid w:val="00107131"/>
    <w:rsid w:val="0010736F"/>
    <w:rsid w:val="001078B1"/>
    <w:rsid w:val="00113F73"/>
    <w:rsid w:val="00114196"/>
    <w:rsid w:val="00121CC2"/>
    <w:rsid w:val="00130C2C"/>
    <w:rsid w:val="00133617"/>
    <w:rsid w:val="00133EE5"/>
    <w:rsid w:val="00144082"/>
    <w:rsid w:val="00150FBD"/>
    <w:rsid w:val="00163FEA"/>
    <w:rsid w:val="001656FC"/>
    <w:rsid w:val="00166189"/>
    <w:rsid w:val="00167A34"/>
    <w:rsid w:val="001701D6"/>
    <w:rsid w:val="00170EE3"/>
    <w:rsid w:val="0017757B"/>
    <w:rsid w:val="0018072F"/>
    <w:rsid w:val="00181F34"/>
    <w:rsid w:val="00182F84"/>
    <w:rsid w:val="0019471E"/>
    <w:rsid w:val="00196076"/>
    <w:rsid w:val="001A5281"/>
    <w:rsid w:val="001A7870"/>
    <w:rsid w:val="001B1E83"/>
    <w:rsid w:val="001B32C3"/>
    <w:rsid w:val="001B424B"/>
    <w:rsid w:val="001B6488"/>
    <w:rsid w:val="001C103F"/>
    <w:rsid w:val="001C1B41"/>
    <w:rsid w:val="001C1DC7"/>
    <w:rsid w:val="001D04E5"/>
    <w:rsid w:val="001D18C7"/>
    <w:rsid w:val="001D4A21"/>
    <w:rsid w:val="001D65EF"/>
    <w:rsid w:val="001E09AC"/>
    <w:rsid w:val="001E15B6"/>
    <w:rsid w:val="001E56DC"/>
    <w:rsid w:val="001F2058"/>
    <w:rsid w:val="00204B61"/>
    <w:rsid w:val="00210AB7"/>
    <w:rsid w:val="00213BF7"/>
    <w:rsid w:val="0022273F"/>
    <w:rsid w:val="00222955"/>
    <w:rsid w:val="002250A3"/>
    <w:rsid w:val="00230BD8"/>
    <w:rsid w:val="00235217"/>
    <w:rsid w:val="00235366"/>
    <w:rsid w:val="00242208"/>
    <w:rsid w:val="002435AF"/>
    <w:rsid w:val="00246D1F"/>
    <w:rsid w:val="00247403"/>
    <w:rsid w:val="00247542"/>
    <w:rsid w:val="002508BE"/>
    <w:rsid w:val="002533EA"/>
    <w:rsid w:val="00254137"/>
    <w:rsid w:val="00254597"/>
    <w:rsid w:val="00255AF5"/>
    <w:rsid w:val="00266B61"/>
    <w:rsid w:val="0026712A"/>
    <w:rsid w:val="00267185"/>
    <w:rsid w:val="002704DB"/>
    <w:rsid w:val="00276DF8"/>
    <w:rsid w:val="00277EF9"/>
    <w:rsid w:val="002827DD"/>
    <w:rsid w:val="00285727"/>
    <w:rsid w:val="00290C98"/>
    <w:rsid w:val="0029759A"/>
    <w:rsid w:val="002A0AAE"/>
    <w:rsid w:val="002A5820"/>
    <w:rsid w:val="002B0F40"/>
    <w:rsid w:val="002B2F1B"/>
    <w:rsid w:val="002B46E0"/>
    <w:rsid w:val="002C5F68"/>
    <w:rsid w:val="002D1426"/>
    <w:rsid w:val="002D2B26"/>
    <w:rsid w:val="002D7B3E"/>
    <w:rsid w:val="002D7EA2"/>
    <w:rsid w:val="002E0347"/>
    <w:rsid w:val="002E187C"/>
    <w:rsid w:val="002E4AEA"/>
    <w:rsid w:val="002E51AD"/>
    <w:rsid w:val="00301D87"/>
    <w:rsid w:val="00302733"/>
    <w:rsid w:val="0030312D"/>
    <w:rsid w:val="00303D52"/>
    <w:rsid w:val="00304DE1"/>
    <w:rsid w:val="00305E89"/>
    <w:rsid w:val="00307ABC"/>
    <w:rsid w:val="00307D43"/>
    <w:rsid w:val="00314078"/>
    <w:rsid w:val="0031535D"/>
    <w:rsid w:val="003155F8"/>
    <w:rsid w:val="003173C2"/>
    <w:rsid w:val="0032043D"/>
    <w:rsid w:val="003275F6"/>
    <w:rsid w:val="0033028D"/>
    <w:rsid w:val="0033169F"/>
    <w:rsid w:val="00345DBD"/>
    <w:rsid w:val="00346C95"/>
    <w:rsid w:val="00354DB3"/>
    <w:rsid w:val="00355609"/>
    <w:rsid w:val="00356090"/>
    <w:rsid w:val="00356185"/>
    <w:rsid w:val="00357DA1"/>
    <w:rsid w:val="00360380"/>
    <w:rsid w:val="00361415"/>
    <w:rsid w:val="00365872"/>
    <w:rsid w:val="003701A8"/>
    <w:rsid w:val="0037519E"/>
    <w:rsid w:val="00386CF0"/>
    <w:rsid w:val="00387162"/>
    <w:rsid w:val="003B58B3"/>
    <w:rsid w:val="003C0474"/>
    <w:rsid w:val="003C6472"/>
    <w:rsid w:val="003C676B"/>
    <w:rsid w:val="003D3BC2"/>
    <w:rsid w:val="003D67C7"/>
    <w:rsid w:val="003D6C58"/>
    <w:rsid w:val="003D7C03"/>
    <w:rsid w:val="003E432F"/>
    <w:rsid w:val="003E5B19"/>
    <w:rsid w:val="003E6CA1"/>
    <w:rsid w:val="003E6EC7"/>
    <w:rsid w:val="003E70C3"/>
    <w:rsid w:val="003F19FE"/>
    <w:rsid w:val="003F403C"/>
    <w:rsid w:val="003F4E52"/>
    <w:rsid w:val="00400090"/>
    <w:rsid w:val="00410AC8"/>
    <w:rsid w:val="00413689"/>
    <w:rsid w:val="004165C2"/>
    <w:rsid w:val="00420570"/>
    <w:rsid w:val="00426114"/>
    <w:rsid w:val="004333FB"/>
    <w:rsid w:val="00434DA4"/>
    <w:rsid w:val="00437655"/>
    <w:rsid w:val="00441ECB"/>
    <w:rsid w:val="0044759B"/>
    <w:rsid w:val="0045752B"/>
    <w:rsid w:val="00465594"/>
    <w:rsid w:val="0046676B"/>
    <w:rsid w:val="0046717C"/>
    <w:rsid w:val="00467B7E"/>
    <w:rsid w:val="00471D9E"/>
    <w:rsid w:val="00476095"/>
    <w:rsid w:val="00477592"/>
    <w:rsid w:val="00482EC8"/>
    <w:rsid w:val="004836B4"/>
    <w:rsid w:val="0048682E"/>
    <w:rsid w:val="00486F1C"/>
    <w:rsid w:val="0049419D"/>
    <w:rsid w:val="004A3671"/>
    <w:rsid w:val="004A4F36"/>
    <w:rsid w:val="004B5F15"/>
    <w:rsid w:val="004B6B29"/>
    <w:rsid w:val="004C11DC"/>
    <w:rsid w:val="004C20D2"/>
    <w:rsid w:val="004C483E"/>
    <w:rsid w:val="004C4B62"/>
    <w:rsid w:val="004C54C9"/>
    <w:rsid w:val="004C790D"/>
    <w:rsid w:val="004D195F"/>
    <w:rsid w:val="004D24FB"/>
    <w:rsid w:val="004D2628"/>
    <w:rsid w:val="004D2720"/>
    <w:rsid w:val="004D6025"/>
    <w:rsid w:val="004D6618"/>
    <w:rsid w:val="004D714C"/>
    <w:rsid w:val="004E01C7"/>
    <w:rsid w:val="004E2649"/>
    <w:rsid w:val="004E5B9D"/>
    <w:rsid w:val="004F28CD"/>
    <w:rsid w:val="004F47A6"/>
    <w:rsid w:val="004F627D"/>
    <w:rsid w:val="00501399"/>
    <w:rsid w:val="005028AD"/>
    <w:rsid w:val="00502E99"/>
    <w:rsid w:val="0050614B"/>
    <w:rsid w:val="0050633D"/>
    <w:rsid w:val="00507BC4"/>
    <w:rsid w:val="00511E32"/>
    <w:rsid w:val="005128E4"/>
    <w:rsid w:val="00513394"/>
    <w:rsid w:val="005133DB"/>
    <w:rsid w:val="00522262"/>
    <w:rsid w:val="00525560"/>
    <w:rsid w:val="005354F3"/>
    <w:rsid w:val="00536923"/>
    <w:rsid w:val="005430CE"/>
    <w:rsid w:val="00544C49"/>
    <w:rsid w:val="00550C02"/>
    <w:rsid w:val="005516A1"/>
    <w:rsid w:val="00553BE6"/>
    <w:rsid w:val="005569D3"/>
    <w:rsid w:val="005636E5"/>
    <w:rsid w:val="00563A8A"/>
    <w:rsid w:val="00565744"/>
    <w:rsid w:val="005704FC"/>
    <w:rsid w:val="00570757"/>
    <w:rsid w:val="00571BA1"/>
    <w:rsid w:val="0057402A"/>
    <w:rsid w:val="005771D0"/>
    <w:rsid w:val="00583B64"/>
    <w:rsid w:val="005875FC"/>
    <w:rsid w:val="0059191A"/>
    <w:rsid w:val="005921FF"/>
    <w:rsid w:val="005937F1"/>
    <w:rsid w:val="00595C1D"/>
    <w:rsid w:val="005961F4"/>
    <w:rsid w:val="00596857"/>
    <w:rsid w:val="005A6D0E"/>
    <w:rsid w:val="005B172B"/>
    <w:rsid w:val="005B52B0"/>
    <w:rsid w:val="005B664A"/>
    <w:rsid w:val="005B6806"/>
    <w:rsid w:val="005B7DF3"/>
    <w:rsid w:val="005C4225"/>
    <w:rsid w:val="005C4304"/>
    <w:rsid w:val="005C4CA5"/>
    <w:rsid w:val="005C6936"/>
    <w:rsid w:val="005D0DB1"/>
    <w:rsid w:val="005E42DA"/>
    <w:rsid w:val="005F0DAD"/>
    <w:rsid w:val="005F0F33"/>
    <w:rsid w:val="005F309E"/>
    <w:rsid w:val="0060086D"/>
    <w:rsid w:val="00600DEB"/>
    <w:rsid w:val="006013B4"/>
    <w:rsid w:val="00601DB3"/>
    <w:rsid w:val="00604124"/>
    <w:rsid w:val="00606D27"/>
    <w:rsid w:val="006125C3"/>
    <w:rsid w:val="0061268D"/>
    <w:rsid w:val="00615D91"/>
    <w:rsid w:val="00627C9F"/>
    <w:rsid w:val="006306EB"/>
    <w:rsid w:val="006311E9"/>
    <w:rsid w:val="00632354"/>
    <w:rsid w:val="00632ACD"/>
    <w:rsid w:val="00632E94"/>
    <w:rsid w:val="00636A25"/>
    <w:rsid w:val="006379C7"/>
    <w:rsid w:val="00642810"/>
    <w:rsid w:val="006468CB"/>
    <w:rsid w:val="00652333"/>
    <w:rsid w:val="00652C71"/>
    <w:rsid w:val="00660AB1"/>
    <w:rsid w:val="0066301F"/>
    <w:rsid w:val="00670AE3"/>
    <w:rsid w:val="006759A1"/>
    <w:rsid w:val="0068009E"/>
    <w:rsid w:val="00683E73"/>
    <w:rsid w:val="00685E13"/>
    <w:rsid w:val="006861D6"/>
    <w:rsid w:val="00692219"/>
    <w:rsid w:val="006A03B4"/>
    <w:rsid w:val="006A15F6"/>
    <w:rsid w:val="006A17D2"/>
    <w:rsid w:val="006A23A4"/>
    <w:rsid w:val="006A4B39"/>
    <w:rsid w:val="006A73E6"/>
    <w:rsid w:val="006B2D5C"/>
    <w:rsid w:val="006B4D40"/>
    <w:rsid w:val="006C0EC0"/>
    <w:rsid w:val="006C1A20"/>
    <w:rsid w:val="006C2FE9"/>
    <w:rsid w:val="006C4EB1"/>
    <w:rsid w:val="006C4F3D"/>
    <w:rsid w:val="006E0166"/>
    <w:rsid w:val="006E6180"/>
    <w:rsid w:val="006E7B34"/>
    <w:rsid w:val="0070697F"/>
    <w:rsid w:val="00711451"/>
    <w:rsid w:val="0071264E"/>
    <w:rsid w:val="0072199C"/>
    <w:rsid w:val="00722C9F"/>
    <w:rsid w:val="007253B8"/>
    <w:rsid w:val="007332F3"/>
    <w:rsid w:val="00734ECB"/>
    <w:rsid w:val="0073631B"/>
    <w:rsid w:val="0073741F"/>
    <w:rsid w:val="007377E9"/>
    <w:rsid w:val="007408C2"/>
    <w:rsid w:val="00757062"/>
    <w:rsid w:val="00763D18"/>
    <w:rsid w:val="0076643F"/>
    <w:rsid w:val="0076794B"/>
    <w:rsid w:val="00777F63"/>
    <w:rsid w:val="007819CE"/>
    <w:rsid w:val="00797B4F"/>
    <w:rsid w:val="007A28BA"/>
    <w:rsid w:val="007A528D"/>
    <w:rsid w:val="007A5817"/>
    <w:rsid w:val="007A7C28"/>
    <w:rsid w:val="007B60E9"/>
    <w:rsid w:val="007B6CC3"/>
    <w:rsid w:val="007C3334"/>
    <w:rsid w:val="007C756A"/>
    <w:rsid w:val="007D2B98"/>
    <w:rsid w:val="007E12B2"/>
    <w:rsid w:val="007E21BC"/>
    <w:rsid w:val="007F0D9E"/>
    <w:rsid w:val="007F5622"/>
    <w:rsid w:val="007F7E9A"/>
    <w:rsid w:val="00803F1C"/>
    <w:rsid w:val="0080549A"/>
    <w:rsid w:val="0080600E"/>
    <w:rsid w:val="008149D1"/>
    <w:rsid w:val="00815021"/>
    <w:rsid w:val="00817612"/>
    <w:rsid w:val="008176E5"/>
    <w:rsid w:val="008217E6"/>
    <w:rsid w:val="008266A7"/>
    <w:rsid w:val="008338A4"/>
    <w:rsid w:val="00833DAB"/>
    <w:rsid w:val="00834C48"/>
    <w:rsid w:val="00837C45"/>
    <w:rsid w:val="00844730"/>
    <w:rsid w:val="008457C2"/>
    <w:rsid w:val="00855A57"/>
    <w:rsid w:val="00856BBF"/>
    <w:rsid w:val="00857A82"/>
    <w:rsid w:val="0086166D"/>
    <w:rsid w:val="00871889"/>
    <w:rsid w:val="00873836"/>
    <w:rsid w:val="00885470"/>
    <w:rsid w:val="00885737"/>
    <w:rsid w:val="00885FCE"/>
    <w:rsid w:val="00890650"/>
    <w:rsid w:val="00893029"/>
    <w:rsid w:val="0089796E"/>
    <w:rsid w:val="00897E12"/>
    <w:rsid w:val="008A1D8F"/>
    <w:rsid w:val="008A1EE9"/>
    <w:rsid w:val="008A221C"/>
    <w:rsid w:val="008A53A9"/>
    <w:rsid w:val="008A7E0F"/>
    <w:rsid w:val="008B12F5"/>
    <w:rsid w:val="008B2B9C"/>
    <w:rsid w:val="008C3098"/>
    <w:rsid w:val="008C3946"/>
    <w:rsid w:val="008C42BD"/>
    <w:rsid w:val="008D768D"/>
    <w:rsid w:val="008E3759"/>
    <w:rsid w:val="008F1912"/>
    <w:rsid w:val="008F1B28"/>
    <w:rsid w:val="008F604B"/>
    <w:rsid w:val="008F735B"/>
    <w:rsid w:val="009014A4"/>
    <w:rsid w:val="0090270B"/>
    <w:rsid w:val="009041DC"/>
    <w:rsid w:val="00914526"/>
    <w:rsid w:val="00916C87"/>
    <w:rsid w:val="00917B5A"/>
    <w:rsid w:val="00920A58"/>
    <w:rsid w:val="00920A8C"/>
    <w:rsid w:val="0092111F"/>
    <w:rsid w:val="00934A2C"/>
    <w:rsid w:val="00934FD1"/>
    <w:rsid w:val="009462D1"/>
    <w:rsid w:val="00947168"/>
    <w:rsid w:val="00951CBC"/>
    <w:rsid w:val="00953448"/>
    <w:rsid w:val="00953982"/>
    <w:rsid w:val="009609E8"/>
    <w:rsid w:val="0096420D"/>
    <w:rsid w:val="0096706E"/>
    <w:rsid w:val="0096709F"/>
    <w:rsid w:val="00970AF4"/>
    <w:rsid w:val="00975C4E"/>
    <w:rsid w:val="00975E9D"/>
    <w:rsid w:val="00981FBA"/>
    <w:rsid w:val="00997BC5"/>
    <w:rsid w:val="009A0BE3"/>
    <w:rsid w:val="009A30F0"/>
    <w:rsid w:val="009A4F41"/>
    <w:rsid w:val="009B34A8"/>
    <w:rsid w:val="009B373A"/>
    <w:rsid w:val="009B381B"/>
    <w:rsid w:val="009C4EAA"/>
    <w:rsid w:val="009C56BF"/>
    <w:rsid w:val="009C7B03"/>
    <w:rsid w:val="009D1753"/>
    <w:rsid w:val="009D7611"/>
    <w:rsid w:val="009E0B61"/>
    <w:rsid w:val="009E4510"/>
    <w:rsid w:val="009E53DE"/>
    <w:rsid w:val="009E72E8"/>
    <w:rsid w:val="009F365B"/>
    <w:rsid w:val="009F3E83"/>
    <w:rsid w:val="009F4BA8"/>
    <w:rsid w:val="009F6401"/>
    <w:rsid w:val="00A03719"/>
    <w:rsid w:val="00A06A5E"/>
    <w:rsid w:val="00A12213"/>
    <w:rsid w:val="00A13AFE"/>
    <w:rsid w:val="00A14753"/>
    <w:rsid w:val="00A16BA5"/>
    <w:rsid w:val="00A2598E"/>
    <w:rsid w:val="00A27CA2"/>
    <w:rsid w:val="00A27CCC"/>
    <w:rsid w:val="00A328B3"/>
    <w:rsid w:val="00A33B1E"/>
    <w:rsid w:val="00A50E7D"/>
    <w:rsid w:val="00A50FCF"/>
    <w:rsid w:val="00A528D1"/>
    <w:rsid w:val="00A604E8"/>
    <w:rsid w:val="00A610CD"/>
    <w:rsid w:val="00A72F5D"/>
    <w:rsid w:val="00A75E63"/>
    <w:rsid w:val="00A7647A"/>
    <w:rsid w:val="00A77DA7"/>
    <w:rsid w:val="00A814FA"/>
    <w:rsid w:val="00A82BB6"/>
    <w:rsid w:val="00A90469"/>
    <w:rsid w:val="00A94143"/>
    <w:rsid w:val="00A9541B"/>
    <w:rsid w:val="00AA09A2"/>
    <w:rsid w:val="00AA3CBB"/>
    <w:rsid w:val="00AA4779"/>
    <w:rsid w:val="00AA4CE8"/>
    <w:rsid w:val="00AA7996"/>
    <w:rsid w:val="00AB1382"/>
    <w:rsid w:val="00AB7951"/>
    <w:rsid w:val="00AC19CB"/>
    <w:rsid w:val="00AC1A99"/>
    <w:rsid w:val="00AC40B7"/>
    <w:rsid w:val="00AC55D4"/>
    <w:rsid w:val="00AC6475"/>
    <w:rsid w:val="00AD3AD9"/>
    <w:rsid w:val="00AD6026"/>
    <w:rsid w:val="00AE439B"/>
    <w:rsid w:val="00AE5488"/>
    <w:rsid w:val="00AE6F91"/>
    <w:rsid w:val="00AF32CB"/>
    <w:rsid w:val="00AF5571"/>
    <w:rsid w:val="00AF63FB"/>
    <w:rsid w:val="00AF7988"/>
    <w:rsid w:val="00B0102E"/>
    <w:rsid w:val="00B07184"/>
    <w:rsid w:val="00B07341"/>
    <w:rsid w:val="00B20CF5"/>
    <w:rsid w:val="00B30539"/>
    <w:rsid w:val="00B314DB"/>
    <w:rsid w:val="00B34CE7"/>
    <w:rsid w:val="00B361F2"/>
    <w:rsid w:val="00B3718B"/>
    <w:rsid w:val="00B405AB"/>
    <w:rsid w:val="00B446E4"/>
    <w:rsid w:val="00B4632A"/>
    <w:rsid w:val="00B469C2"/>
    <w:rsid w:val="00B513B1"/>
    <w:rsid w:val="00B51AB6"/>
    <w:rsid w:val="00B530F1"/>
    <w:rsid w:val="00B54A0C"/>
    <w:rsid w:val="00B54C64"/>
    <w:rsid w:val="00B632D6"/>
    <w:rsid w:val="00B6369F"/>
    <w:rsid w:val="00B65D86"/>
    <w:rsid w:val="00B67999"/>
    <w:rsid w:val="00B86ABE"/>
    <w:rsid w:val="00B95218"/>
    <w:rsid w:val="00B95E39"/>
    <w:rsid w:val="00BA276C"/>
    <w:rsid w:val="00BA461E"/>
    <w:rsid w:val="00BB306F"/>
    <w:rsid w:val="00BC1180"/>
    <w:rsid w:val="00BC2060"/>
    <w:rsid w:val="00BC7692"/>
    <w:rsid w:val="00BD12BC"/>
    <w:rsid w:val="00BD3A10"/>
    <w:rsid w:val="00BD4B89"/>
    <w:rsid w:val="00BE014A"/>
    <w:rsid w:val="00BE2E12"/>
    <w:rsid w:val="00BE5D8B"/>
    <w:rsid w:val="00BF02CB"/>
    <w:rsid w:val="00BF11D3"/>
    <w:rsid w:val="00BF1664"/>
    <w:rsid w:val="00BF2BFE"/>
    <w:rsid w:val="00BF6FD8"/>
    <w:rsid w:val="00C02B18"/>
    <w:rsid w:val="00C03680"/>
    <w:rsid w:val="00C054DF"/>
    <w:rsid w:val="00C1597E"/>
    <w:rsid w:val="00C21762"/>
    <w:rsid w:val="00C24543"/>
    <w:rsid w:val="00C256A2"/>
    <w:rsid w:val="00C30C1F"/>
    <w:rsid w:val="00C40789"/>
    <w:rsid w:val="00C4393B"/>
    <w:rsid w:val="00C46EE5"/>
    <w:rsid w:val="00C51515"/>
    <w:rsid w:val="00C5660B"/>
    <w:rsid w:val="00C62A75"/>
    <w:rsid w:val="00C639F5"/>
    <w:rsid w:val="00C64D18"/>
    <w:rsid w:val="00C66B72"/>
    <w:rsid w:val="00C7291F"/>
    <w:rsid w:val="00C75282"/>
    <w:rsid w:val="00C76ADA"/>
    <w:rsid w:val="00C810D8"/>
    <w:rsid w:val="00C9567A"/>
    <w:rsid w:val="00C97129"/>
    <w:rsid w:val="00CB0C15"/>
    <w:rsid w:val="00CB10EC"/>
    <w:rsid w:val="00CB212D"/>
    <w:rsid w:val="00CB2583"/>
    <w:rsid w:val="00CB2660"/>
    <w:rsid w:val="00CB3F76"/>
    <w:rsid w:val="00CB4C8A"/>
    <w:rsid w:val="00CB7925"/>
    <w:rsid w:val="00CB7A12"/>
    <w:rsid w:val="00CC0301"/>
    <w:rsid w:val="00CC5E90"/>
    <w:rsid w:val="00CC63CF"/>
    <w:rsid w:val="00CD046C"/>
    <w:rsid w:val="00CD22BA"/>
    <w:rsid w:val="00CE0449"/>
    <w:rsid w:val="00CE076C"/>
    <w:rsid w:val="00CE0A45"/>
    <w:rsid w:val="00CE4457"/>
    <w:rsid w:val="00CE5199"/>
    <w:rsid w:val="00CE66D5"/>
    <w:rsid w:val="00CF4152"/>
    <w:rsid w:val="00CF4A17"/>
    <w:rsid w:val="00CF637A"/>
    <w:rsid w:val="00CF72D7"/>
    <w:rsid w:val="00D059DE"/>
    <w:rsid w:val="00D05E31"/>
    <w:rsid w:val="00D07F2A"/>
    <w:rsid w:val="00D12193"/>
    <w:rsid w:val="00D13FCE"/>
    <w:rsid w:val="00D306D1"/>
    <w:rsid w:val="00D34786"/>
    <w:rsid w:val="00D37BFC"/>
    <w:rsid w:val="00D40871"/>
    <w:rsid w:val="00D47A8E"/>
    <w:rsid w:val="00D52D14"/>
    <w:rsid w:val="00D5714A"/>
    <w:rsid w:val="00D6032E"/>
    <w:rsid w:val="00D63D4C"/>
    <w:rsid w:val="00D65282"/>
    <w:rsid w:val="00D7008F"/>
    <w:rsid w:val="00D70A4F"/>
    <w:rsid w:val="00D712D3"/>
    <w:rsid w:val="00D71422"/>
    <w:rsid w:val="00D72DC6"/>
    <w:rsid w:val="00D7558D"/>
    <w:rsid w:val="00D81D92"/>
    <w:rsid w:val="00D83D73"/>
    <w:rsid w:val="00D8568C"/>
    <w:rsid w:val="00D937BC"/>
    <w:rsid w:val="00D96E66"/>
    <w:rsid w:val="00DA29EC"/>
    <w:rsid w:val="00DA30A1"/>
    <w:rsid w:val="00DA434A"/>
    <w:rsid w:val="00DA7A6F"/>
    <w:rsid w:val="00DA7B5F"/>
    <w:rsid w:val="00DB230F"/>
    <w:rsid w:val="00DC11E7"/>
    <w:rsid w:val="00DC2D43"/>
    <w:rsid w:val="00DC7023"/>
    <w:rsid w:val="00DC769A"/>
    <w:rsid w:val="00DD3D86"/>
    <w:rsid w:val="00DE49E0"/>
    <w:rsid w:val="00DF1902"/>
    <w:rsid w:val="00DF1EC4"/>
    <w:rsid w:val="00DF3A10"/>
    <w:rsid w:val="00DF516F"/>
    <w:rsid w:val="00E0340B"/>
    <w:rsid w:val="00E04336"/>
    <w:rsid w:val="00E04A90"/>
    <w:rsid w:val="00E219C7"/>
    <w:rsid w:val="00E22722"/>
    <w:rsid w:val="00E23A84"/>
    <w:rsid w:val="00E30499"/>
    <w:rsid w:val="00E3126E"/>
    <w:rsid w:val="00E359DA"/>
    <w:rsid w:val="00E3700D"/>
    <w:rsid w:val="00E43122"/>
    <w:rsid w:val="00E43157"/>
    <w:rsid w:val="00E459CE"/>
    <w:rsid w:val="00E461CE"/>
    <w:rsid w:val="00E64425"/>
    <w:rsid w:val="00E676EC"/>
    <w:rsid w:val="00E70788"/>
    <w:rsid w:val="00E720CA"/>
    <w:rsid w:val="00E77CD1"/>
    <w:rsid w:val="00E810C3"/>
    <w:rsid w:val="00E84EB5"/>
    <w:rsid w:val="00E85662"/>
    <w:rsid w:val="00E8789F"/>
    <w:rsid w:val="00E87D85"/>
    <w:rsid w:val="00E909AA"/>
    <w:rsid w:val="00E9397C"/>
    <w:rsid w:val="00E96906"/>
    <w:rsid w:val="00E97B71"/>
    <w:rsid w:val="00EA2408"/>
    <w:rsid w:val="00EA3D34"/>
    <w:rsid w:val="00EA5F94"/>
    <w:rsid w:val="00EB0447"/>
    <w:rsid w:val="00EB454D"/>
    <w:rsid w:val="00EB640D"/>
    <w:rsid w:val="00EC013F"/>
    <w:rsid w:val="00EC1731"/>
    <w:rsid w:val="00ED1F09"/>
    <w:rsid w:val="00ED6960"/>
    <w:rsid w:val="00ED76BE"/>
    <w:rsid w:val="00EE13BB"/>
    <w:rsid w:val="00EF2F34"/>
    <w:rsid w:val="00EF619B"/>
    <w:rsid w:val="00EF6C39"/>
    <w:rsid w:val="00F00B55"/>
    <w:rsid w:val="00F02AD1"/>
    <w:rsid w:val="00F253CC"/>
    <w:rsid w:val="00F33C06"/>
    <w:rsid w:val="00F37106"/>
    <w:rsid w:val="00F378A1"/>
    <w:rsid w:val="00F37D37"/>
    <w:rsid w:val="00F519CF"/>
    <w:rsid w:val="00F5327F"/>
    <w:rsid w:val="00F541FC"/>
    <w:rsid w:val="00F56BA5"/>
    <w:rsid w:val="00F60E22"/>
    <w:rsid w:val="00F61835"/>
    <w:rsid w:val="00F628E2"/>
    <w:rsid w:val="00F712CB"/>
    <w:rsid w:val="00F73104"/>
    <w:rsid w:val="00F73468"/>
    <w:rsid w:val="00F76C93"/>
    <w:rsid w:val="00F805FB"/>
    <w:rsid w:val="00F81395"/>
    <w:rsid w:val="00F814F9"/>
    <w:rsid w:val="00F82328"/>
    <w:rsid w:val="00F900EA"/>
    <w:rsid w:val="00F902EB"/>
    <w:rsid w:val="00F90C6B"/>
    <w:rsid w:val="00F917D1"/>
    <w:rsid w:val="00F95411"/>
    <w:rsid w:val="00F95B5F"/>
    <w:rsid w:val="00F9653B"/>
    <w:rsid w:val="00FA2AA3"/>
    <w:rsid w:val="00FA3022"/>
    <w:rsid w:val="00FA4A76"/>
    <w:rsid w:val="00FA698E"/>
    <w:rsid w:val="00FB62CF"/>
    <w:rsid w:val="00FD100D"/>
    <w:rsid w:val="00FD3C3B"/>
    <w:rsid w:val="00FD5A99"/>
    <w:rsid w:val="00FE07DD"/>
    <w:rsid w:val="00FE2FD1"/>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6E0A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Arial Unicode MS" w:hAnsiTheme="majorHAnsi" w:cs="Calibri"/>
        <w:color w:val="000000"/>
        <w:sz w:val="16"/>
        <w:szCs w:val="16"/>
        <w:u w:color="000000"/>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ListParagraph"/>
    <w:next w:val="Normal"/>
    <w:link w:val="Heading1Char"/>
    <w:uiPriority w:val="9"/>
    <w:qFormat/>
    <w:rsid w:val="00E23A84"/>
    <w:pPr>
      <w:numPr>
        <w:numId w:val="54"/>
      </w:numPr>
      <w:suppressAutoHyphens/>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E23A84"/>
    <w:pPr>
      <w:suppressAutoHyphens/>
      <w:ind w:left="0"/>
      <w:outlineLvl w:val="1"/>
    </w:pPr>
    <w:rPr>
      <w:rFonts w:asciiTheme="majorHAnsi" w:hAnsiTheme="majorHAnsi"/>
      <w:b/>
      <w:sz w:val="20"/>
      <w:szCs w:val="20"/>
      <w:lang w:val="es-ES_tradnl"/>
    </w:rPr>
  </w:style>
  <w:style w:type="paragraph" w:styleId="Heading3">
    <w:name w:val="heading 3"/>
    <w:basedOn w:val="ListParagraph"/>
    <w:next w:val="Normal"/>
    <w:link w:val="Heading3Char"/>
    <w:qFormat/>
    <w:rsid w:val="00E359DA"/>
    <w:pPr>
      <w:numPr>
        <w:numId w:val="59"/>
      </w:numPr>
      <w:jc w:val="both"/>
      <w:outlineLvl w:val="2"/>
    </w:pPr>
    <w:rPr>
      <w:b/>
      <w:color w:val="000000" w:themeColor="text1"/>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sz w:val="24"/>
      <w:szCs w:val="24"/>
    </w:rPr>
  </w:style>
  <w:style w:type="paragraph" w:styleId="Footer">
    <w:name w:val="footer"/>
    <w:link w:val="FooterChar"/>
    <w:uiPriority w:val="99"/>
    <w:pPr>
      <w:tabs>
        <w:tab w:val="center" w:pos="4513"/>
        <w:tab w:val="right" w:pos="9026"/>
      </w:tabs>
    </w:pPr>
    <w:rPr>
      <w:rFonts w:ascii="Cambria" w:eastAsia="Cambria" w:hAnsi="Cambria" w:cs="Cambria"/>
      <w:sz w:val="24"/>
      <w:szCs w:val="24"/>
      <w:lang w:val="en-US"/>
    </w:rPr>
  </w:style>
  <w:style w:type="paragraph" w:customStyle="1" w:styleId="Cuerpo">
    <w:name w:val="Cuerpo"/>
    <w:rPr>
      <w:rFonts w:ascii="Cambria" w:eastAsia="Cambria" w:hAnsi="Cambria" w:cs="Cambria"/>
      <w:sz w:val="24"/>
      <w:szCs w:val="24"/>
    </w:rPr>
  </w:style>
  <w:style w:type="paragraph" w:styleId="BodyTextIndent">
    <w:name w:val="Body Text Indent"/>
    <w:link w:val="BodyTextIndentChar"/>
    <w:pPr>
      <w:ind w:left="2160" w:hanging="720"/>
    </w:pPr>
    <w:rPr>
      <w:rFonts w:eastAsia="Times New Roman"/>
      <w:sz w:val="24"/>
      <w:szCs w:val="24"/>
      <w:lang w:val="es-ES_tradnl"/>
    </w:rPr>
  </w:style>
  <w:style w:type="paragraph" w:styleId="ListParagraph">
    <w:name w:val="List Paragraph"/>
    <w:aliases w:val="Párrafo de lista1,List Paragraph1,Colorful List - Accent 11,List Paragraph11,List Paragraph2"/>
    <w:link w:val="ListParagraphChar"/>
    <w:uiPriority w:val="99"/>
    <w:qFormat/>
    <w:pPr>
      <w:ind w:left="720"/>
    </w:pPr>
    <w:rPr>
      <w:rFonts w:ascii="Cambria" w:eastAsia="Cambria" w:hAnsi="Cambria" w:cs="Cambria"/>
      <w:sz w:val="24"/>
      <w:szCs w:val="24"/>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E23A84"/>
    <w:rPr>
      <w:rFonts w:eastAsia="Cambria" w:cs="Cambria"/>
      <w:b/>
      <w:sz w:val="20"/>
      <w:szCs w:val="2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E23A84"/>
    <w:rPr>
      <w:rFonts w:eastAsia="Cambria" w:cs="Cambria"/>
      <w:b/>
      <w:sz w:val="20"/>
      <w:szCs w:val="20"/>
      <w:lang w:val="es-ES_tradnl"/>
    </w:rPr>
  </w:style>
  <w:style w:type="character" w:customStyle="1" w:styleId="Heading3Char">
    <w:name w:val="Heading 3 Char"/>
    <w:basedOn w:val="DefaultParagraphFont"/>
    <w:link w:val="Heading3"/>
    <w:rsid w:val="00E359DA"/>
    <w:rPr>
      <w:rFonts w:ascii="Cambria" w:eastAsia="Cambria" w:hAnsi="Cambria" w:cs="Cambria"/>
      <w:b/>
      <w:color w:val="000000" w:themeColor="text1"/>
      <w:sz w:val="20"/>
      <w:szCs w:val="20"/>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2E4AEA"/>
    <w:rPr>
      <w:rFonts w:ascii="Cambria" w:eastAsia="Cambria" w:hAnsi="Cambria" w:cs="Cambria"/>
      <w:color w:val="000000"/>
      <w:sz w:val="24"/>
      <w:szCs w:val="24"/>
      <w:u w:color="000000"/>
      <w:lang w:val="en-US"/>
    </w:rPr>
  </w:style>
  <w:style w:type="character" w:customStyle="1" w:styleId="BodyTextIndentChar">
    <w:name w:val="Body Text Indent Char"/>
    <w:link w:val="BodyTextIndent"/>
    <w:locked/>
    <w:rsid w:val="00E359DA"/>
    <w:rPr>
      <w:rFonts w:eastAsia="Times New Roman"/>
      <w:color w:val="000000"/>
      <w:sz w:val="24"/>
      <w:szCs w:val="24"/>
      <w:u w:color="000000"/>
      <w:lang w:val="es-ES_tradnl"/>
    </w:rPr>
  </w:style>
  <w:style w:type="paragraph" w:styleId="NormalWeb">
    <w:name w:val="Normal (Web)"/>
    <w:basedOn w:val="Normal"/>
    <w:uiPriority w:val="99"/>
    <w:rsid w:val="00E359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table" w:styleId="TableGrid">
    <w:name w:val="Table Grid"/>
    <w:basedOn w:val="TableNormal"/>
    <w:uiPriority w:val="59"/>
    <w:rsid w:val="00A9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508BE"/>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59" w:lineRule="auto"/>
      <w:outlineLvl w:val="9"/>
    </w:pPr>
    <w:rPr>
      <w:rFonts w:eastAsiaTheme="majorEastAsia" w:cstheme="majorBidi"/>
      <w:b w:val="0"/>
      <w:color w:val="365F91" w:themeColor="accent1" w:themeShade="BF"/>
      <w:sz w:val="32"/>
      <w:szCs w:val="32"/>
      <w:bdr w:val="none" w:sz="0" w:space="0" w:color="auto"/>
      <w:lang w:val="en-US" w:eastAsia="en-US"/>
    </w:rPr>
  </w:style>
  <w:style w:type="character" w:styleId="CommentReference">
    <w:name w:val="annotation reference"/>
    <w:basedOn w:val="DefaultParagraphFont"/>
    <w:uiPriority w:val="99"/>
    <w:semiHidden/>
    <w:unhideWhenUsed/>
    <w:rsid w:val="004D2628"/>
    <w:rPr>
      <w:sz w:val="16"/>
      <w:szCs w:val="16"/>
    </w:rPr>
  </w:style>
  <w:style w:type="paragraph" w:styleId="CommentText">
    <w:name w:val="annotation text"/>
    <w:basedOn w:val="Normal"/>
    <w:link w:val="CommentTextChar"/>
    <w:uiPriority w:val="99"/>
    <w:semiHidden/>
    <w:unhideWhenUsed/>
    <w:rsid w:val="004D2628"/>
    <w:rPr>
      <w:sz w:val="20"/>
      <w:szCs w:val="20"/>
    </w:rPr>
  </w:style>
  <w:style w:type="character" w:customStyle="1" w:styleId="CommentTextChar">
    <w:name w:val="Comment Text Char"/>
    <w:basedOn w:val="DefaultParagraphFont"/>
    <w:link w:val="CommentText"/>
    <w:uiPriority w:val="99"/>
    <w:semiHidden/>
    <w:rsid w:val="004D2628"/>
    <w:rPr>
      <w:sz w:val="20"/>
      <w:szCs w:val="20"/>
    </w:rPr>
  </w:style>
  <w:style w:type="paragraph" w:styleId="CommentSubject">
    <w:name w:val="annotation subject"/>
    <w:basedOn w:val="CommentText"/>
    <w:next w:val="CommentText"/>
    <w:link w:val="CommentSubjectChar"/>
    <w:uiPriority w:val="99"/>
    <w:semiHidden/>
    <w:unhideWhenUsed/>
    <w:rsid w:val="004D2628"/>
    <w:rPr>
      <w:b/>
      <w:bCs/>
    </w:rPr>
  </w:style>
  <w:style w:type="character" w:customStyle="1" w:styleId="CommentSubjectChar">
    <w:name w:val="Comment Subject Char"/>
    <w:basedOn w:val="CommentTextChar"/>
    <w:link w:val="CommentSubject"/>
    <w:uiPriority w:val="99"/>
    <w:semiHidden/>
    <w:rsid w:val="004D2628"/>
    <w:rPr>
      <w:b/>
      <w:bCs/>
      <w:sz w:val="20"/>
      <w:szCs w:val="20"/>
    </w:rPr>
  </w:style>
  <w:style w:type="character" w:styleId="EndnoteReference">
    <w:name w:val="endnote reference"/>
    <w:basedOn w:val="DefaultParagraphFont"/>
    <w:uiPriority w:val="99"/>
    <w:semiHidden/>
    <w:unhideWhenUsed/>
    <w:rsid w:val="00A147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7818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1" Type="http://schemas.openxmlformats.org/officeDocument/2006/relationships/hyperlink" Target="https://www.publimetro.cl/cl/noticias/2018/09/25/colegio-de-profesores-mineduc-48-hora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BD547-2DBB-4E37-8D4C-8EC25B7C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8316</Words>
  <Characters>47403</Characters>
  <Application>Microsoft Office Word</Application>
  <DocSecurity>0</DocSecurity>
  <Lines>395</Lines>
  <Paragraphs>111</Paragraphs>
  <ScaleCrop>false</ScaleCrop>
  <Company/>
  <LinksUpToDate>false</LinksUpToDate>
  <CharactersWithSpaces>55608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2020-10-28T22:44:00Z</dcterms:created>
  <dcterms:modified xsi:type="dcterms:W3CDTF">2020-10-28T22:44:00Z</dcterms:modified>
</cp:coreProperties>
</file>